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0E922" w14:textId="77777777" w:rsidR="004818B5" w:rsidRPr="00AF25C1" w:rsidRDefault="004818B5" w:rsidP="004818B5">
      <w:pPr>
        <w:pStyle w:val="KeinLeerraum"/>
        <w:rPr>
          <w:b/>
          <w:bCs/>
        </w:rPr>
      </w:pPr>
      <w:r w:rsidRPr="00AF25C1">
        <w:rPr>
          <w:b/>
          <w:bCs/>
        </w:rPr>
        <w:t xml:space="preserve">Checkliste: </w:t>
      </w:r>
      <w:proofErr w:type="spellStart"/>
      <w:r w:rsidRPr="00AF25C1">
        <w:rPr>
          <w:b/>
          <w:bCs/>
        </w:rPr>
        <w:t>To</w:t>
      </w:r>
      <w:proofErr w:type="spellEnd"/>
      <w:r w:rsidRPr="00AF25C1">
        <w:rPr>
          <w:b/>
          <w:bCs/>
        </w:rPr>
        <w:t>-dos bei Tätigkeitsende als Datenschutzbeauftragter</w:t>
      </w:r>
    </w:p>
    <w:p w14:paraId="3E2C8EE0" w14:textId="77777777" w:rsidR="004818B5" w:rsidRDefault="004818B5" w:rsidP="004818B5">
      <w:pPr>
        <w:pStyle w:val="KeinLeerraum"/>
      </w:pPr>
    </w:p>
    <w:tbl>
      <w:tblPr>
        <w:tblStyle w:val="Tabellenraster"/>
        <w:tblW w:w="0" w:type="auto"/>
        <w:tblLook w:val="04A0" w:firstRow="1" w:lastRow="0" w:firstColumn="1" w:lastColumn="0" w:noHBand="0" w:noVBand="1"/>
      </w:tblPr>
      <w:tblGrid>
        <w:gridCol w:w="3020"/>
        <w:gridCol w:w="4346"/>
        <w:gridCol w:w="1696"/>
      </w:tblGrid>
      <w:tr w:rsidR="004818B5" w14:paraId="0A7312BF" w14:textId="77777777" w:rsidTr="00893F20">
        <w:tc>
          <w:tcPr>
            <w:tcW w:w="3020" w:type="dxa"/>
            <w:shd w:val="clear" w:color="auto" w:fill="D9E2F3" w:themeFill="accent1" w:themeFillTint="33"/>
          </w:tcPr>
          <w:p w14:paraId="4E71F2D4" w14:textId="77777777" w:rsidR="004818B5" w:rsidRPr="00AF25C1" w:rsidRDefault="004818B5" w:rsidP="00893F20">
            <w:pPr>
              <w:pStyle w:val="KeinLeerraum"/>
              <w:rPr>
                <w:b/>
                <w:bCs/>
              </w:rPr>
            </w:pPr>
            <w:proofErr w:type="spellStart"/>
            <w:r w:rsidRPr="00AF25C1">
              <w:rPr>
                <w:b/>
                <w:bCs/>
              </w:rPr>
              <w:t>To</w:t>
            </w:r>
            <w:proofErr w:type="spellEnd"/>
            <w:r w:rsidRPr="00AF25C1">
              <w:rPr>
                <w:b/>
                <w:bCs/>
              </w:rPr>
              <w:t>-do</w:t>
            </w:r>
          </w:p>
        </w:tc>
        <w:tc>
          <w:tcPr>
            <w:tcW w:w="4346" w:type="dxa"/>
            <w:shd w:val="clear" w:color="auto" w:fill="D9E2F3" w:themeFill="accent1" w:themeFillTint="33"/>
          </w:tcPr>
          <w:p w14:paraId="047D857D" w14:textId="77777777" w:rsidR="004818B5" w:rsidRPr="00AF25C1" w:rsidRDefault="004818B5" w:rsidP="00893F20">
            <w:pPr>
              <w:pStyle w:val="KeinLeerraum"/>
              <w:rPr>
                <w:b/>
                <w:bCs/>
              </w:rPr>
            </w:pPr>
            <w:r w:rsidRPr="00AF25C1">
              <w:rPr>
                <w:b/>
                <w:bCs/>
              </w:rPr>
              <w:t>Wichtige Aspekte</w:t>
            </w:r>
          </w:p>
        </w:tc>
        <w:tc>
          <w:tcPr>
            <w:tcW w:w="1696" w:type="dxa"/>
            <w:shd w:val="clear" w:color="auto" w:fill="D9E2F3" w:themeFill="accent1" w:themeFillTint="33"/>
          </w:tcPr>
          <w:p w14:paraId="5E76B10C" w14:textId="77777777" w:rsidR="004818B5" w:rsidRPr="00AF25C1" w:rsidRDefault="004818B5" w:rsidP="00893F20">
            <w:pPr>
              <w:pStyle w:val="KeinLeerraum"/>
              <w:rPr>
                <w:b/>
                <w:bCs/>
              </w:rPr>
            </w:pPr>
            <w:r w:rsidRPr="00AF25C1">
              <w:rPr>
                <w:b/>
                <w:bCs/>
              </w:rPr>
              <w:t>Erledigt?</w:t>
            </w:r>
          </w:p>
        </w:tc>
      </w:tr>
      <w:tr w:rsidR="004818B5" w14:paraId="20C36A9D" w14:textId="77777777" w:rsidTr="00893F20">
        <w:tc>
          <w:tcPr>
            <w:tcW w:w="3020" w:type="dxa"/>
          </w:tcPr>
          <w:p w14:paraId="7BA2E6C0" w14:textId="77777777" w:rsidR="004818B5" w:rsidRDefault="004818B5" w:rsidP="00893F20">
            <w:pPr>
              <w:pStyle w:val="KeinLeerraum"/>
            </w:pPr>
            <w:r>
              <w:t xml:space="preserve">Wichtige Beratungen </w:t>
            </w:r>
            <w:r w:rsidRPr="00D2002F">
              <w:t>abschließen</w:t>
            </w:r>
          </w:p>
        </w:tc>
        <w:tc>
          <w:tcPr>
            <w:tcW w:w="4346" w:type="dxa"/>
          </w:tcPr>
          <w:p w14:paraId="337B4AE3" w14:textId="77777777" w:rsidR="004818B5" w:rsidRDefault="004818B5" w:rsidP="004818B5">
            <w:pPr>
              <w:pStyle w:val="KeinLeerraum"/>
              <w:numPr>
                <w:ilvl w:val="0"/>
                <w:numId w:val="23"/>
              </w:numPr>
            </w:pPr>
            <w:r>
              <w:t>Bei wichtigen Vorhaben oder Beratungen sollten Sie dafür sorgen, dass die Kollegen durch den Wechsel nicht ausgebremst werden. Geben Sie ggf. eine schriftliche Einschätzung.</w:t>
            </w:r>
          </w:p>
          <w:p w14:paraId="1BF4B91D" w14:textId="77777777" w:rsidR="004818B5" w:rsidRDefault="004818B5" w:rsidP="004818B5">
            <w:pPr>
              <w:pStyle w:val="KeinLeerraum"/>
              <w:numPr>
                <w:ilvl w:val="0"/>
                <w:numId w:val="23"/>
              </w:numPr>
            </w:pPr>
            <w:r>
              <w:t xml:space="preserve">Ist eine abschließende Stellungnahme nicht möglich, sollten Sie den Zwischenstand festhalten. </w:t>
            </w:r>
          </w:p>
        </w:tc>
        <w:tc>
          <w:tcPr>
            <w:tcW w:w="1696" w:type="dxa"/>
          </w:tcPr>
          <w:p w14:paraId="166E4E6D"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0C0E2CAC" w14:textId="77777777" w:rsidTr="00893F20">
        <w:tc>
          <w:tcPr>
            <w:tcW w:w="3020" w:type="dxa"/>
          </w:tcPr>
          <w:p w14:paraId="03DDD9A9" w14:textId="77777777" w:rsidR="004818B5" w:rsidRDefault="004818B5" w:rsidP="00893F20">
            <w:pPr>
              <w:pStyle w:val="KeinLeerraum"/>
            </w:pPr>
            <w:r>
              <w:t xml:space="preserve">Beratungsdokumentation </w:t>
            </w:r>
            <w:r w:rsidRPr="00D2002F">
              <w:t>vervollständigen</w:t>
            </w:r>
          </w:p>
        </w:tc>
        <w:tc>
          <w:tcPr>
            <w:tcW w:w="4346" w:type="dxa"/>
          </w:tcPr>
          <w:p w14:paraId="70F3ECF4" w14:textId="77777777" w:rsidR="004818B5" w:rsidRDefault="004818B5" w:rsidP="004818B5">
            <w:pPr>
              <w:pStyle w:val="KeinLeerraum"/>
              <w:numPr>
                <w:ilvl w:val="0"/>
                <w:numId w:val="22"/>
              </w:numPr>
            </w:pPr>
            <w:r>
              <w:t>Dokumentieren Sie den Beratungsstand bei allen noch nicht abgeschlossenen Fragen oder Beratungen so, dass sich ein Nachfolger leicht zurechtfindet.</w:t>
            </w:r>
          </w:p>
          <w:p w14:paraId="58D62E32" w14:textId="77777777" w:rsidR="004818B5" w:rsidRDefault="004818B5" w:rsidP="004818B5">
            <w:pPr>
              <w:pStyle w:val="KeinLeerraum"/>
              <w:numPr>
                <w:ilvl w:val="0"/>
                <w:numId w:val="22"/>
              </w:numPr>
            </w:pPr>
            <w:r>
              <w:t xml:space="preserve">Nehmen Sie idealerweise bei den offenen Beratungen eine Priorisierung nach Wichtigkeit und Dringlichkeit vor. </w:t>
            </w:r>
          </w:p>
          <w:p w14:paraId="2BB72130" w14:textId="77777777" w:rsidR="004818B5" w:rsidRDefault="004818B5" w:rsidP="004818B5">
            <w:pPr>
              <w:pStyle w:val="KeinLeerraum"/>
              <w:numPr>
                <w:ilvl w:val="0"/>
                <w:numId w:val="22"/>
              </w:numPr>
            </w:pPr>
            <w:r>
              <w:t>Am besten vermerken Sie, wie Sie die Sache einschätzen bzw. welche weiteren Schritte nötig sind.</w:t>
            </w:r>
          </w:p>
        </w:tc>
        <w:tc>
          <w:tcPr>
            <w:tcW w:w="1696" w:type="dxa"/>
          </w:tcPr>
          <w:p w14:paraId="2B80ECEE"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26794E9F" w14:textId="77777777" w:rsidTr="00893F20">
        <w:tc>
          <w:tcPr>
            <w:tcW w:w="3020" w:type="dxa"/>
          </w:tcPr>
          <w:p w14:paraId="16D47D88" w14:textId="77777777" w:rsidR="004818B5" w:rsidRDefault="004818B5" w:rsidP="00893F20">
            <w:pPr>
              <w:pStyle w:val="KeinLeerraum"/>
            </w:pPr>
            <w:r>
              <w:t xml:space="preserve">Risikoübersicht </w:t>
            </w:r>
            <w:r w:rsidRPr="00D2002F">
              <w:t>zusammenstellen</w:t>
            </w:r>
          </w:p>
        </w:tc>
        <w:tc>
          <w:tcPr>
            <w:tcW w:w="4346" w:type="dxa"/>
          </w:tcPr>
          <w:p w14:paraId="70E082F9" w14:textId="77777777" w:rsidR="004818B5" w:rsidRDefault="004818B5" w:rsidP="004818B5">
            <w:pPr>
              <w:pStyle w:val="KeinLeerraum"/>
              <w:numPr>
                <w:ilvl w:val="0"/>
                <w:numId w:val="24"/>
              </w:numPr>
            </w:pPr>
            <w:r>
              <w:t>Machen Sie eine Analyse, wo Sie als bisheriger Datenschutzbeauftragter die Gefahren und Risiken im Datenschutz sehen. Schätzen Sie ein, wo aus Ihrer Sicht der größte Handlungsdruck besteht.</w:t>
            </w:r>
          </w:p>
          <w:p w14:paraId="700D8FFA" w14:textId="77777777" w:rsidR="004818B5" w:rsidRDefault="004818B5" w:rsidP="004818B5">
            <w:pPr>
              <w:pStyle w:val="KeinLeerraum"/>
              <w:numPr>
                <w:ilvl w:val="0"/>
                <w:numId w:val="24"/>
              </w:numPr>
            </w:pPr>
            <w:r>
              <w:t>Vergessen Sie keine „Baustellen“, auch nicht solche, die weniger mit den Kernaspekten des Datenschutzes zu tun haben. Das können auch organisatorische Themen sein.</w:t>
            </w:r>
          </w:p>
        </w:tc>
        <w:tc>
          <w:tcPr>
            <w:tcW w:w="1696" w:type="dxa"/>
          </w:tcPr>
          <w:p w14:paraId="53595E09"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2E3F6D07" w14:textId="77777777" w:rsidTr="00893F20">
        <w:tc>
          <w:tcPr>
            <w:tcW w:w="3020" w:type="dxa"/>
          </w:tcPr>
          <w:p w14:paraId="16C9EAF4" w14:textId="77777777" w:rsidR="004818B5" w:rsidRDefault="004818B5" w:rsidP="00893F20">
            <w:pPr>
              <w:pStyle w:val="KeinLeerraum"/>
            </w:pPr>
            <w:r>
              <w:t xml:space="preserve">Offene-Punkte-Liste </w:t>
            </w:r>
            <w:r w:rsidRPr="00D2002F">
              <w:t>erstellen</w:t>
            </w:r>
          </w:p>
        </w:tc>
        <w:tc>
          <w:tcPr>
            <w:tcW w:w="4346" w:type="dxa"/>
          </w:tcPr>
          <w:p w14:paraId="5B47472A" w14:textId="77777777" w:rsidR="004818B5" w:rsidRDefault="004818B5" w:rsidP="004818B5">
            <w:pPr>
              <w:pStyle w:val="KeinLeerraum"/>
              <w:numPr>
                <w:ilvl w:val="0"/>
                <w:numId w:val="25"/>
              </w:numPr>
            </w:pPr>
            <w:r>
              <w:t>Listen Sie alle Punkte auf, die unerledigt sind. Es gebietet die Fairness, dass Sie keine Problemfelder unter den Tisch fallen lassen.</w:t>
            </w:r>
          </w:p>
          <w:p w14:paraId="5881FCC2" w14:textId="77777777" w:rsidR="004818B5" w:rsidRDefault="004818B5" w:rsidP="004818B5">
            <w:pPr>
              <w:pStyle w:val="KeinLeerraum"/>
              <w:numPr>
                <w:ilvl w:val="0"/>
                <w:numId w:val="25"/>
              </w:numPr>
            </w:pPr>
            <w:r>
              <w:t xml:space="preserve">Kategorisieren Sie die Einträge, beispielsweise nach typischen Überbegriffen wie „Organisatorisches“, „Schulungen“, „Beratung“, „Unternehmensleitung“. </w:t>
            </w:r>
          </w:p>
        </w:tc>
        <w:tc>
          <w:tcPr>
            <w:tcW w:w="1696" w:type="dxa"/>
          </w:tcPr>
          <w:p w14:paraId="0DCA8AE7"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3DA2F9DF" w14:textId="77777777" w:rsidTr="00893F20">
        <w:tc>
          <w:tcPr>
            <w:tcW w:w="3020" w:type="dxa"/>
          </w:tcPr>
          <w:p w14:paraId="5246665B" w14:textId="77777777" w:rsidR="004818B5" w:rsidRDefault="004818B5" w:rsidP="00893F20">
            <w:pPr>
              <w:pStyle w:val="KeinLeerraum"/>
            </w:pPr>
            <w:r>
              <w:t xml:space="preserve">Handbuch für den Nachfolger </w:t>
            </w:r>
            <w:r w:rsidRPr="00D2002F">
              <w:t>erarbeiten</w:t>
            </w:r>
          </w:p>
        </w:tc>
        <w:tc>
          <w:tcPr>
            <w:tcW w:w="4346" w:type="dxa"/>
          </w:tcPr>
          <w:p w14:paraId="71D18F77" w14:textId="77777777" w:rsidR="004818B5" w:rsidRDefault="004818B5" w:rsidP="004818B5">
            <w:pPr>
              <w:pStyle w:val="KeinLeerraum"/>
              <w:numPr>
                <w:ilvl w:val="0"/>
                <w:numId w:val="26"/>
              </w:numPr>
            </w:pPr>
            <w:r>
              <w:t>Stellen Sie alles Relevante und Wissenswerte für den Nachfolger in einer Art Handbuch zusammen. Das erleichtert es ihm erheblich, sich zurechtzufinden.</w:t>
            </w:r>
          </w:p>
          <w:p w14:paraId="0F79C357" w14:textId="77777777" w:rsidR="004818B5" w:rsidRDefault="004818B5" w:rsidP="004818B5">
            <w:pPr>
              <w:pStyle w:val="KeinLeerraum"/>
              <w:numPr>
                <w:ilvl w:val="0"/>
                <w:numId w:val="26"/>
              </w:numPr>
            </w:pPr>
            <w:r>
              <w:t>Führen Sie das Handbuch nach Möglichkeit elektronisch. Referenzen und Links funktionieren dann problemlos.</w:t>
            </w:r>
          </w:p>
          <w:p w14:paraId="4D47A4DD" w14:textId="77777777" w:rsidR="004818B5" w:rsidRDefault="004818B5" w:rsidP="004818B5">
            <w:pPr>
              <w:pStyle w:val="KeinLeerraum"/>
              <w:numPr>
                <w:ilvl w:val="0"/>
                <w:numId w:val="26"/>
              </w:numPr>
            </w:pPr>
            <w:r>
              <w:t>Denken Sie auch an eine Übersicht mit wichtigen Ansprechpartnern, Prozessen oder internen Festlegungen.</w:t>
            </w:r>
          </w:p>
        </w:tc>
        <w:tc>
          <w:tcPr>
            <w:tcW w:w="1696" w:type="dxa"/>
          </w:tcPr>
          <w:p w14:paraId="508C9E55"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5CB91CE7" w14:textId="77777777" w:rsidTr="00893F20">
        <w:tc>
          <w:tcPr>
            <w:tcW w:w="3020" w:type="dxa"/>
          </w:tcPr>
          <w:p w14:paraId="3058B56E" w14:textId="77777777" w:rsidR="004818B5" w:rsidRDefault="004818B5" w:rsidP="00893F20">
            <w:pPr>
              <w:pStyle w:val="KeinLeerraum"/>
            </w:pPr>
            <w:r>
              <w:t xml:space="preserve">E-Mail-Postfach </w:t>
            </w:r>
            <w:r w:rsidRPr="00D2002F">
              <w:t>bereinigen</w:t>
            </w:r>
          </w:p>
        </w:tc>
        <w:tc>
          <w:tcPr>
            <w:tcW w:w="4346" w:type="dxa"/>
          </w:tcPr>
          <w:p w14:paraId="5635197F" w14:textId="77777777" w:rsidR="004818B5" w:rsidRDefault="004818B5" w:rsidP="004818B5">
            <w:pPr>
              <w:pStyle w:val="KeinLeerraum"/>
              <w:numPr>
                <w:ilvl w:val="0"/>
                <w:numId w:val="27"/>
              </w:numPr>
            </w:pPr>
            <w:r>
              <w:t>Bereinigen Sie Ihr Postfach. Exportieren Sie alle relevanten E-Mails in eine Postfachdatei, die Sie Ihrem Nachfolger übergeben können.</w:t>
            </w:r>
          </w:p>
          <w:p w14:paraId="4E20037D" w14:textId="77777777" w:rsidR="004818B5" w:rsidRDefault="004818B5" w:rsidP="004818B5">
            <w:pPr>
              <w:pStyle w:val="KeinLeerraum"/>
              <w:numPr>
                <w:ilvl w:val="0"/>
                <w:numId w:val="27"/>
              </w:numPr>
            </w:pPr>
            <w:r>
              <w:t>Passen Sie zum Wechsel die Berechtigungen für Funktionspostfächer an, damit diese Ihnen entzogen und dem Nachfolger eingeräumt werden.</w:t>
            </w:r>
          </w:p>
        </w:tc>
        <w:tc>
          <w:tcPr>
            <w:tcW w:w="1696" w:type="dxa"/>
          </w:tcPr>
          <w:p w14:paraId="3D32B0E5"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1E006413" w14:textId="77777777" w:rsidTr="00893F20">
        <w:tc>
          <w:tcPr>
            <w:tcW w:w="3020" w:type="dxa"/>
          </w:tcPr>
          <w:p w14:paraId="4496B058" w14:textId="77777777" w:rsidR="004818B5" w:rsidRDefault="004818B5" w:rsidP="00893F20">
            <w:pPr>
              <w:pStyle w:val="KeinLeerraum"/>
            </w:pPr>
            <w:r>
              <w:lastRenderedPageBreak/>
              <w:t xml:space="preserve">Abschlussgespräche mit wichtigen Ansprechpartnern </w:t>
            </w:r>
            <w:r w:rsidRPr="00D2002F">
              <w:t>führen</w:t>
            </w:r>
          </w:p>
        </w:tc>
        <w:tc>
          <w:tcPr>
            <w:tcW w:w="4346" w:type="dxa"/>
          </w:tcPr>
          <w:p w14:paraId="63F8056B" w14:textId="77777777" w:rsidR="004818B5" w:rsidRDefault="004818B5" w:rsidP="004818B5">
            <w:pPr>
              <w:pStyle w:val="KeinLeerraum"/>
              <w:numPr>
                <w:ilvl w:val="0"/>
                <w:numId w:val="28"/>
              </w:numPr>
            </w:pPr>
            <w:r>
              <w:t>Garantiert hatten Sie wichtige Ansprechpartner oder Unterstützer. Besprechen Sie rechtzeitig mit diesen, ob es im Vorfeld noch Themen gibt, die Sie in Angriff nehmen sollten.</w:t>
            </w:r>
          </w:p>
          <w:p w14:paraId="3CF4D7D3" w14:textId="77777777" w:rsidR="004818B5" w:rsidRDefault="004818B5" w:rsidP="004818B5">
            <w:pPr>
              <w:pStyle w:val="KeinLeerraum"/>
              <w:numPr>
                <w:ilvl w:val="0"/>
                <w:numId w:val="28"/>
              </w:numPr>
            </w:pPr>
            <w:r>
              <w:t>Nutzen Sie die Gelegenheit, um sich bei Ihren Wegbegleitern zu bedanken. Persönlicher Dank wirkt noch immer am besten.</w:t>
            </w:r>
          </w:p>
        </w:tc>
        <w:tc>
          <w:tcPr>
            <w:tcW w:w="1696" w:type="dxa"/>
          </w:tcPr>
          <w:p w14:paraId="1808A075"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31FBAA46" w14:textId="77777777" w:rsidTr="00893F20">
        <w:tc>
          <w:tcPr>
            <w:tcW w:w="3020" w:type="dxa"/>
          </w:tcPr>
          <w:p w14:paraId="100BEFE4" w14:textId="77777777" w:rsidR="004818B5" w:rsidRDefault="004818B5" w:rsidP="00893F20">
            <w:pPr>
              <w:pStyle w:val="KeinLeerraum"/>
            </w:pPr>
            <w:r>
              <w:t xml:space="preserve">Nicht mehr Erforderliches bzw. Relevantes </w:t>
            </w:r>
            <w:r w:rsidRPr="00D2002F">
              <w:t>entsorgen</w:t>
            </w:r>
          </w:p>
        </w:tc>
        <w:tc>
          <w:tcPr>
            <w:tcW w:w="4346" w:type="dxa"/>
          </w:tcPr>
          <w:p w14:paraId="34FEC024" w14:textId="77777777" w:rsidR="004818B5" w:rsidRDefault="004818B5" w:rsidP="004818B5">
            <w:pPr>
              <w:pStyle w:val="KeinLeerraum"/>
              <w:numPr>
                <w:ilvl w:val="0"/>
                <w:numId w:val="29"/>
              </w:numPr>
            </w:pPr>
            <w:r>
              <w:t>Im Laufe Ihrer Tätigkeit hat sich garantiert viel angesammelt. So manches ist inzwischen veraltet oder ohne Relevanz. Ersparen Sie Ihrem Nachfolger, sich durch einen Berg an Informationen oder Unterlagen arbeiten zu müssen. Was weg kann, sollte auch weg.</w:t>
            </w:r>
          </w:p>
          <w:p w14:paraId="2C1DF567" w14:textId="77777777" w:rsidR="004818B5" w:rsidRDefault="004818B5" w:rsidP="004818B5">
            <w:pPr>
              <w:pStyle w:val="KeinLeerraum"/>
              <w:numPr>
                <w:ilvl w:val="0"/>
                <w:numId w:val="29"/>
              </w:numPr>
            </w:pPr>
            <w:r>
              <w:t>Achten Sie auf eine sachgemäße Entsorgung. Bei Schützenswertem muss der Datenschutz gewahrt werden.</w:t>
            </w:r>
          </w:p>
        </w:tc>
        <w:tc>
          <w:tcPr>
            <w:tcW w:w="1696" w:type="dxa"/>
          </w:tcPr>
          <w:p w14:paraId="145C3F78"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15C9D274" w14:textId="77777777" w:rsidTr="00893F20">
        <w:tc>
          <w:tcPr>
            <w:tcW w:w="3020" w:type="dxa"/>
          </w:tcPr>
          <w:p w14:paraId="1EC00471" w14:textId="77777777" w:rsidR="004818B5" w:rsidRDefault="004818B5" w:rsidP="00893F20">
            <w:pPr>
              <w:pStyle w:val="KeinLeerraum"/>
            </w:pPr>
            <w:r>
              <w:t xml:space="preserve">Arbeitsplatz und Archiv </w:t>
            </w:r>
            <w:r w:rsidRPr="00D2002F">
              <w:t>bereinigen</w:t>
            </w:r>
          </w:p>
        </w:tc>
        <w:tc>
          <w:tcPr>
            <w:tcW w:w="4346" w:type="dxa"/>
          </w:tcPr>
          <w:p w14:paraId="477721B1" w14:textId="77777777" w:rsidR="004818B5" w:rsidRDefault="004818B5" w:rsidP="004818B5">
            <w:pPr>
              <w:pStyle w:val="KeinLeerraum"/>
              <w:numPr>
                <w:ilvl w:val="0"/>
                <w:numId w:val="30"/>
              </w:numPr>
            </w:pPr>
            <w:r>
              <w:t>Räumen Sie Ihren Arbeitsplatz auf und hinterlassen Sie diesen so, dass er eine gute Visitenkarte für Sie abgibt. Sieht es aus wie bei „Hempels unterm Sofa“, wirft das kein gutes Licht auf Sie.</w:t>
            </w:r>
          </w:p>
          <w:p w14:paraId="40545772" w14:textId="77777777" w:rsidR="004818B5" w:rsidRDefault="004818B5" w:rsidP="004818B5">
            <w:pPr>
              <w:pStyle w:val="KeinLeerraum"/>
              <w:numPr>
                <w:ilvl w:val="0"/>
                <w:numId w:val="30"/>
              </w:numPr>
            </w:pPr>
            <w:r>
              <w:t>Prüfen Sie auch Aktenschränke oder Archivräume. Sortieren Sie dort aus, was keine Relevanz mehr hat.</w:t>
            </w:r>
          </w:p>
        </w:tc>
        <w:tc>
          <w:tcPr>
            <w:tcW w:w="1696" w:type="dxa"/>
          </w:tcPr>
          <w:p w14:paraId="7EAB8993"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3D936E93" w14:textId="77777777" w:rsidTr="00893F20">
        <w:tc>
          <w:tcPr>
            <w:tcW w:w="3020" w:type="dxa"/>
          </w:tcPr>
          <w:p w14:paraId="7A9B5DF7" w14:textId="77777777" w:rsidR="004818B5" w:rsidRDefault="004818B5" w:rsidP="00893F20">
            <w:pPr>
              <w:pStyle w:val="KeinLeerraum"/>
            </w:pPr>
            <w:r>
              <w:t xml:space="preserve">Tätigkeitsbericht </w:t>
            </w:r>
            <w:r w:rsidRPr="00D2002F">
              <w:t>erstellen</w:t>
            </w:r>
          </w:p>
        </w:tc>
        <w:tc>
          <w:tcPr>
            <w:tcW w:w="4346" w:type="dxa"/>
          </w:tcPr>
          <w:p w14:paraId="3570C4EB" w14:textId="77777777" w:rsidR="004818B5" w:rsidRDefault="004818B5" w:rsidP="004818B5">
            <w:pPr>
              <w:pStyle w:val="KeinLeerraum"/>
              <w:numPr>
                <w:ilvl w:val="0"/>
                <w:numId w:val="31"/>
              </w:numPr>
            </w:pPr>
            <w:r>
              <w:t xml:space="preserve">Damit können Sie einen guten Abschluss machen und zugleich das Ende Ihres Amts in ein positives Licht rücken. </w:t>
            </w:r>
          </w:p>
          <w:p w14:paraId="423F2C56" w14:textId="77777777" w:rsidR="004818B5" w:rsidRDefault="004818B5" w:rsidP="004818B5">
            <w:pPr>
              <w:pStyle w:val="KeinLeerraum"/>
              <w:numPr>
                <w:ilvl w:val="0"/>
                <w:numId w:val="31"/>
              </w:numPr>
            </w:pPr>
            <w:r>
              <w:t>Ziehen Sie Ihre Bilanz, idealerweise im positiven Sinn. Heben Sie hervor, was erreicht wurde und was Sie bewegt haben.</w:t>
            </w:r>
          </w:p>
        </w:tc>
        <w:tc>
          <w:tcPr>
            <w:tcW w:w="1696" w:type="dxa"/>
          </w:tcPr>
          <w:p w14:paraId="0C94A53B"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3828425E" w14:textId="77777777" w:rsidTr="00893F20">
        <w:tc>
          <w:tcPr>
            <w:tcW w:w="3020" w:type="dxa"/>
          </w:tcPr>
          <w:p w14:paraId="5C05C256" w14:textId="77777777" w:rsidR="004818B5" w:rsidRDefault="004818B5" w:rsidP="00893F20">
            <w:pPr>
              <w:pStyle w:val="KeinLeerraum"/>
            </w:pPr>
            <w:r>
              <w:t xml:space="preserve">Nachfolger </w:t>
            </w:r>
            <w:r w:rsidRPr="00D2002F">
              <w:t>einarbeiten</w:t>
            </w:r>
          </w:p>
        </w:tc>
        <w:tc>
          <w:tcPr>
            <w:tcW w:w="4346" w:type="dxa"/>
          </w:tcPr>
          <w:p w14:paraId="63FD3B46" w14:textId="77777777" w:rsidR="004818B5" w:rsidRDefault="004818B5" w:rsidP="004818B5">
            <w:pPr>
              <w:pStyle w:val="KeinLeerraum"/>
              <w:numPr>
                <w:ilvl w:val="0"/>
                <w:numId w:val="32"/>
              </w:numPr>
            </w:pPr>
            <w:r>
              <w:t>Versuchen Sie den Nachfolger noch etwas einzuarbeiten. Dieser wird viele Fragen haben, auf die Sie ganz schnell die Antworten parat haben.</w:t>
            </w:r>
          </w:p>
          <w:p w14:paraId="04D7EB10" w14:textId="77777777" w:rsidR="004818B5" w:rsidRDefault="004818B5" w:rsidP="004818B5">
            <w:pPr>
              <w:pStyle w:val="KeinLeerraum"/>
              <w:numPr>
                <w:ilvl w:val="0"/>
                <w:numId w:val="32"/>
              </w:numPr>
            </w:pPr>
            <w:r>
              <w:t>Ist eine Einarbeitung nicht möglich, sollten Sie sich überlegen, wie Sie den Wissenstransfer organisieren können.</w:t>
            </w:r>
          </w:p>
        </w:tc>
        <w:tc>
          <w:tcPr>
            <w:tcW w:w="1696" w:type="dxa"/>
          </w:tcPr>
          <w:p w14:paraId="6A61773D"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58F31909" w14:textId="77777777" w:rsidTr="00893F20">
        <w:tc>
          <w:tcPr>
            <w:tcW w:w="3020" w:type="dxa"/>
          </w:tcPr>
          <w:p w14:paraId="7B86D681" w14:textId="77777777" w:rsidR="004818B5" w:rsidRDefault="004818B5" w:rsidP="00893F20">
            <w:pPr>
              <w:pStyle w:val="KeinLeerraum"/>
            </w:pPr>
            <w:r>
              <w:t>Abschied durchführen</w:t>
            </w:r>
          </w:p>
        </w:tc>
        <w:tc>
          <w:tcPr>
            <w:tcW w:w="4346" w:type="dxa"/>
          </w:tcPr>
          <w:p w14:paraId="7EE00234" w14:textId="77777777" w:rsidR="004818B5" w:rsidRDefault="004818B5" w:rsidP="004818B5">
            <w:pPr>
              <w:pStyle w:val="KeinLeerraum"/>
              <w:numPr>
                <w:ilvl w:val="0"/>
                <w:numId w:val="33"/>
              </w:numPr>
            </w:pPr>
            <w:r>
              <w:t>Das kann eine kleine Abschiedstour im Unternehmen genauso umfassen wie eine kleine Feier. Sparen Sie hier nicht zu sehr. Man wird Sie dann besser in Erinnerung halten.</w:t>
            </w:r>
          </w:p>
          <w:p w14:paraId="72C18218" w14:textId="77777777" w:rsidR="004818B5" w:rsidRDefault="004818B5" w:rsidP="004818B5">
            <w:pPr>
              <w:pStyle w:val="KeinLeerraum"/>
              <w:numPr>
                <w:ilvl w:val="0"/>
                <w:numId w:val="33"/>
              </w:numPr>
            </w:pPr>
            <w:r>
              <w:t>Denken Sie unbedingt an eine Abschieds-E-Mail. Verschicken Sie diese nicht auf den letzten Drücker. Vielleicht will man Ihnen noch antworten.</w:t>
            </w:r>
          </w:p>
        </w:tc>
        <w:tc>
          <w:tcPr>
            <w:tcW w:w="1696" w:type="dxa"/>
          </w:tcPr>
          <w:p w14:paraId="04A8C0A4"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r w:rsidR="004818B5" w14:paraId="6AA38CAB" w14:textId="77777777" w:rsidTr="00893F20">
        <w:tc>
          <w:tcPr>
            <w:tcW w:w="3020" w:type="dxa"/>
          </w:tcPr>
          <w:p w14:paraId="011456B9" w14:textId="77777777" w:rsidR="004818B5" w:rsidRDefault="004818B5" w:rsidP="00893F20">
            <w:pPr>
              <w:pStyle w:val="KeinLeerraum"/>
            </w:pPr>
            <w:r>
              <w:t xml:space="preserve">Berechtigungen </w:t>
            </w:r>
            <w:r w:rsidRPr="00D2002F">
              <w:t>abgeben</w:t>
            </w:r>
          </w:p>
        </w:tc>
        <w:tc>
          <w:tcPr>
            <w:tcW w:w="4346" w:type="dxa"/>
          </w:tcPr>
          <w:p w14:paraId="044FB2A1" w14:textId="77777777" w:rsidR="004818B5" w:rsidRDefault="004818B5" w:rsidP="004818B5">
            <w:pPr>
              <w:pStyle w:val="KeinLeerraum"/>
              <w:numPr>
                <w:ilvl w:val="0"/>
                <w:numId w:val="34"/>
              </w:numPr>
            </w:pPr>
            <w:r>
              <w:t>Prüfen Sie, welche Berechtigungen Sie nicht mehr benötigen bzw. welche der Nachfolger braucht.</w:t>
            </w:r>
          </w:p>
          <w:p w14:paraId="00847F8B" w14:textId="77777777" w:rsidR="004818B5" w:rsidRDefault="004818B5" w:rsidP="004818B5">
            <w:pPr>
              <w:pStyle w:val="KeinLeerraum"/>
              <w:numPr>
                <w:ilvl w:val="0"/>
                <w:numId w:val="34"/>
              </w:numPr>
            </w:pPr>
            <w:r>
              <w:t>Beantragen Sie rechtzeitig die Anpassung.</w:t>
            </w:r>
          </w:p>
        </w:tc>
        <w:tc>
          <w:tcPr>
            <w:tcW w:w="1696" w:type="dxa"/>
          </w:tcPr>
          <w:p w14:paraId="761DA72E" w14:textId="77777777" w:rsidR="004818B5" w:rsidRDefault="004818B5" w:rsidP="00893F20">
            <w:pPr>
              <w:pStyle w:val="KeinLeerraum"/>
            </w:pPr>
            <w:r w:rsidRPr="004A4DCD">
              <w:fldChar w:fldCharType="begin">
                <w:ffData>
                  <w:name w:val="Kontrollkästchen1"/>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Ja </w:t>
            </w:r>
            <w:r w:rsidRPr="004A4DCD">
              <w:fldChar w:fldCharType="begin">
                <w:ffData>
                  <w:name w:val="Kontrollkästchen2"/>
                  <w:enabled/>
                  <w:calcOnExit w:val="0"/>
                  <w:checkBox>
                    <w:sizeAuto/>
                    <w:default w:val="0"/>
                  </w:checkBox>
                </w:ffData>
              </w:fldChar>
            </w:r>
            <w:r w:rsidRPr="004A4DCD">
              <w:instrText xml:space="preserve"> FORMCHECKBOX </w:instrText>
            </w:r>
            <w:r>
              <w:fldChar w:fldCharType="separate"/>
            </w:r>
            <w:r w:rsidRPr="004A4DCD">
              <w:fldChar w:fldCharType="end"/>
            </w:r>
            <w:r w:rsidRPr="004A4DCD">
              <w:t xml:space="preserve"> Nein</w:t>
            </w:r>
          </w:p>
        </w:tc>
      </w:tr>
    </w:tbl>
    <w:p w14:paraId="1F5860E7" w14:textId="77777777" w:rsidR="004818B5" w:rsidRDefault="004818B5" w:rsidP="004818B5">
      <w:pPr>
        <w:pStyle w:val="KeinLeerraum"/>
      </w:pPr>
    </w:p>
    <w:p w14:paraId="1C8A3D29" w14:textId="77777777" w:rsidR="004818B5" w:rsidRDefault="004818B5" w:rsidP="004818B5">
      <w:pPr>
        <w:pStyle w:val="KeinLeerraum"/>
      </w:pPr>
    </w:p>
    <w:p w14:paraId="7E590D0E" w14:textId="77777777" w:rsidR="004818B5" w:rsidRDefault="004818B5" w:rsidP="004818B5">
      <w:pPr>
        <w:pStyle w:val="KeinLeerraum"/>
      </w:pPr>
    </w:p>
    <w:p w14:paraId="3956D702" w14:textId="77777777" w:rsidR="004818B5" w:rsidRPr="000D5213" w:rsidRDefault="004818B5" w:rsidP="004818B5">
      <w:pPr>
        <w:pStyle w:val="KeinLeerraum"/>
      </w:pPr>
    </w:p>
    <w:p w14:paraId="53834A8E" w14:textId="77777777" w:rsidR="004818B5" w:rsidRPr="000D5213" w:rsidRDefault="004818B5" w:rsidP="004818B5">
      <w:pPr>
        <w:pStyle w:val="KeinLeerraum"/>
      </w:pPr>
    </w:p>
    <w:p w14:paraId="6ED019D3" w14:textId="77777777" w:rsidR="004818B5" w:rsidRPr="000D5213" w:rsidRDefault="004818B5" w:rsidP="004818B5">
      <w:pPr>
        <w:pStyle w:val="KeinLeerraum"/>
      </w:pPr>
    </w:p>
    <w:p w14:paraId="7AA8077B" w14:textId="77777777" w:rsidR="00300DC4" w:rsidRPr="004818B5" w:rsidRDefault="00300DC4" w:rsidP="004818B5">
      <w:bookmarkStart w:id="0" w:name="_GoBack"/>
      <w:bookmarkEnd w:id="0"/>
    </w:p>
    <w:sectPr w:rsidR="00300DC4" w:rsidRPr="004818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DF42" w14:textId="77777777" w:rsidR="00456C69" w:rsidRDefault="00456C69" w:rsidP="00CC2216">
      <w:r>
        <w:separator/>
      </w:r>
    </w:p>
  </w:endnote>
  <w:endnote w:type="continuationSeparator" w:id="0">
    <w:p w14:paraId="5560E6C2" w14:textId="77777777" w:rsidR="00456C69" w:rsidRDefault="00456C69"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5343" w14:textId="77777777" w:rsidR="00456C69" w:rsidRDefault="00456C69" w:rsidP="00CC2216">
      <w:r>
        <w:separator/>
      </w:r>
    </w:p>
  </w:footnote>
  <w:footnote w:type="continuationSeparator" w:id="0">
    <w:p w14:paraId="74EF37F7" w14:textId="77777777" w:rsidR="00456C69" w:rsidRDefault="00456C69"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8112786"/>
    <w:multiLevelType w:val="hybridMultilevel"/>
    <w:tmpl w:val="DD4C6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F7C85"/>
    <w:multiLevelType w:val="hybridMultilevel"/>
    <w:tmpl w:val="BC28F1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626FD7"/>
    <w:multiLevelType w:val="hybridMultilevel"/>
    <w:tmpl w:val="D870E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B80E60"/>
    <w:multiLevelType w:val="hybridMultilevel"/>
    <w:tmpl w:val="68167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5F2178"/>
    <w:multiLevelType w:val="hybridMultilevel"/>
    <w:tmpl w:val="6D68B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DC2BDE"/>
    <w:multiLevelType w:val="hybridMultilevel"/>
    <w:tmpl w:val="49BE9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25F5EDD"/>
    <w:multiLevelType w:val="hybridMultilevel"/>
    <w:tmpl w:val="22FEC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50514E"/>
    <w:multiLevelType w:val="hybridMultilevel"/>
    <w:tmpl w:val="AB32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48B301F"/>
    <w:multiLevelType w:val="hybridMultilevel"/>
    <w:tmpl w:val="BE94B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0933DA2"/>
    <w:multiLevelType w:val="hybridMultilevel"/>
    <w:tmpl w:val="690200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811EC1"/>
    <w:multiLevelType w:val="hybridMultilevel"/>
    <w:tmpl w:val="F862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2BD0072"/>
    <w:multiLevelType w:val="hybridMultilevel"/>
    <w:tmpl w:val="77E06F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2E920A7"/>
    <w:multiLevelType w:val="hybridMultilevel"/>
    <w:tmpl w:val="BC42A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15"/>
  </w:num>
  <w:num w:numId="4">
    <w:abstractNumId w:val="7"/>
  </w:num>
  <w:num w:numId="5">
    <w:abstractNumId w:val="26"/>
  </w:num>
  <w:num w:numId="6">
    <w:abstractNumId w:val="9"/>
  </w:num>
  <w:num w:numId="7">
    <w:abstractNumId w:val="0"/>
  </w:num>
  <w:num w:numId="8">
    <w:abstractNumId w:val="11"/>
  </w:num>
  <w:num w:numId="9">
    <w:abstractNumId w:val="22"/>
  </w:num>
  <w:num w:numId="10">
    <w:abstractNumId w:val="33"/>
  </w:num>
  <w:num w:numId="11">
    <w:abstractNumId w:val="23"/>
  </w:num>
  <w:num w:numId="12">
    <w:abstractNumId w:val="14"/>
  </w:num>
  <w:num w:numId="13">
    <w:abstractNumId w:val="17"/>
  </w:num>
  <w:num w:numId="14">
    <w:abstractNumId w:val="30"/>
  </w:num>
  <w:num w:numId="15">
    <w:abstractNumId w:val="31"/>
  </w:num>
  <w:num w:numId="16">
    <w:abstractNumId w:val="12"/>
  </w:num>
  <w:num w:numId="17">
    <w:abstractNumId w:val="10"/>
  </w:num>
  <w:num w:numId="18">
    <w:abstractNumId w:val="1"/>
  </w:num>
  <w:num w:numId="19">
    <w:abstractNumId w:val="6"/>
  </w:num>
  <w:num w:numId="20">
    <w:abstractNumId w:val="24"/>
  </w:num>
  <w:num w:numId="21">
    <w:abstractNumId w:val="32"/>
  </w:num>
  <w:num w:numId="22">
    <w:abstractNumId w:val="19"/>
  </w:num>
  <w:num w:numId="23">
    <w:abstractNumId w:val="5"/>
  </w:num>
  <w:num w:numId="24">
    <w:abstractNumId w:val="28"/>
  </w:num>
  <w:num w:numId="25">
    <w:abstractNumId w:val="20"/>
  </w:num>
  <w:num w:numId="26">
    <w:abstractNumId w:val="27"/>
  </w:num>
  <w:num w:numId="27">
    <w:abstractNumId w:val="8"/>
  </w:num>
  <w:num w:numId="28">
    <w:abstractNumId w:val="16"/>
  </w:num>
  <w:num w:numId="29">
    <w:abstractNumId w:val="3"/>
  </w:num>
  <w:num w:numId="30">
    <w:abstractNumId w:val="4"/>
  </w:num>
  <w:num w:numId="31">
    <w:abstractNumId w:val="29"/>
  </w:num>
  <w:num w:numId="32">
    <w:abstractNumId w:val="2"/>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6C69"/>
    <w:rsid w:val="004818B5"/>
    <w:rsid w:val="004C79F3"/>
    <w:rsid w:val="005105F0"/>
    <w:rsid w:val="005717AA"/>
    <w:rsid w:val="005A6A71"/>
    <w:rsid w:val="005C5465"/>
    <w:rsid w:val="00696A56"/>
    <w:rsid w:val="0072310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2025-11-02T11:38:00Z</dcterms:created>
  <dcterms:modified xsi:type="dcterms:W3CDTF">2025-11-02T11:38:00Z</dcterms:modified>
</cp:coreProperties>
</file>