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A5EA9F" w14:textId="77777777" w:rsidR="00AF776C" w:rsidRPr="00AF776C" w:rsidRDefault="00AF776C" w:rsidP="00AF776C">
      <w:pPr>
        <w:spacing w:after="0" w:line="240" w:lineRule="auto"/>
        <w:rPr>
          <w:rFonts w:ascii="Arial" w:eastAsia="Calibri" w:hAnsi="Arial" w:cs="Times New Roman"/>
          <w:b/>
          <w:bCs/>
          <w:kern w:val="0"/>
          <w:sz w:val="20"/>
          <w:szCs w:val="22"/>
          <w14:ligatures w14:val="none"/>
        </w:rPr>
      </w:pPr>
      <w:r w:rsidRPr="00AF776C">
        <w:rPr>
          <w:rFonts w:ascii="Arial" w:eastAsia="Calibri" w:hAnsi="Arial" w:cs="Times New Roman"/>
          <w:b/>
          <w:bCs/>
          <w:kern w:val="0"/>
          <w:sz w:val="20"/>
          <w:szCs w:val="22"/>
          <w14:ligatures w14:val="none"/>
        </w:rPr>
        <w:t>Checkliste: 7-Punkte-Kurzcheck für Einwilligungen</w:t>
      </w:r>
    </w:p>
    <w:p w14:paraId="7D26AD46" w14:textId="77777777" w:rsidR="00AF776C" w:rsidRPr="00AF776C" w:rsidRDefault="00AF776C" w:rsidP="00AF776C">
      <w:pPr>
        <w:spacing w:after="0" w:line="240" w:lineRule="auto"/>
        <w:rPr>
          <w:rFonts w:ascii="Arial" w:eastAsia="Calibri" w:hAnsi="Arial" w:cs="Times New Roman"/>
          <w:kern w:val="0"/>
          <w:sz w:val="20"/>
          <w:szCs w:val="22"/>
          <w14:ligatures w14:val="none"/>
        </w:rPr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3020"/>
        <w:gridCol w:w="4346"/>
        <w:gridCol w:w="1696"/>
      </w:tblGrid>
      <w:tr w:rsidR="00AF776C" w:rsidRPr="00AF776C" w14:paraId="2E9CF6E1" w14:textId="77777777" w:rsidTr="00AF776C">
        <w:tc>
          <w:tcPr>
            <w:tcW w:w="3020" w:type="dxa"/>
            <w:shd w:val="clear" w:color="auto" w:fill="DBE5F1"/>
          </w:tcPr>
          <w:p w14:paraId="4FD25CA0" w14:textId="77777777" w:rsidR="00AF776C" w:rsidRPr="00AF776C" w:rsidRDefault="00AF776C" w:rsidP="00AF776C">
            <w:pPr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AF776C">
              <w:rPr>
                <w:rFonts w:ascii="Arial" w:eastAsia="Calibri" w:hAnsi="Arial" w:cs="Times New Roman"/>
                <w:b/>
                <w:bCs/>
                <w:sz w:val="20"/>
              </w:rPr>
              <w:t>Aspekt</w:t>
            </w:r>
          </w:p>
        </w:tc>
        <w:tc>
          <w:tcPr>
            <w:tcW w:w="4346" w:type="dxa"/>
            <w:shd w:val="clear" w:color="auto" w:fill="DBE5F1"/>
          </w:tcPr>
          <w:p w14:paraId="54384C40" w14:textId="77777777" w:rsidR="00AF776C" w:rsidRPr="00AF776C" w:rsidRDefault="00AF776C" w:rsidP="00AF776C">
            <w:pPr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AF776C">
              <w:rPr>
                <w:rFonts w:ascii="Arial" w:eastAsia="Calibri" w:hAnsi="Arial" w:cs="Times New Roman"/>
                <w:b/>
                <w:bCs/>
                <w:sz w:val="20"/>
              </w:rPr>
              <w:t>Das ist wichtig</w:t>
            </w:r>
          </w:p>
        </w:tc>
        <w:tc>
          <w:tcPr>
            <w:tcW w:w="1696" w:type="dxa"/>
            <w:shd w:val="clear" w:color="auto" w:fill="DBE5F1"/>
          </w:tcPr>
          <w:p w14:paraId="0ED22332" w14:textId="77777777" w:rsidR="00AF776C" w:rsidRPr="00AF776C" w:rsidRDefault="00AF776C" w:rsidP="00AF776C">
            <w:pPr>
              <w:rPr>
                <w:rFonts w:ascii="Arial" w:eastAsia="Calibri" w:hAnsi="Arial" w:cs="Times New Roman"/>
                <w:b/>
                <w:bCs/>
                <w:sz w:val="20"/>
              </w:rPr>
            </w:pPr>
            <w:r w:rsidRPr="00AF776C">
              <w:rPr>
                <w:rFonts w:ascii="Arial" w:eastAsia="Calibri" w:hAnsi="Arial" w:cs="Times New Roman"/>
                <w:b/>
                <w:bCs/>
                <w:sz w:val="20"/>
              </w:rPr>
              <w:t>In Ordnung?</w:t>
            </w:r>
          </w:p>
        </w:tc>
      </w:tr>
      <w:tr w:rsidR="00AF776C" w:rsidRPr="00AF776C" w14:paraId="1CC59D9D" w14:textId="77777777" w:rsidTr="00AF57B1">
        <w:tc>
          <w:tcPr>
            <w:tcW w:w="3020" w:type="dxa"/>
          </w:tcPr>
          <w:p w14:paraId="56B7D4AD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Werden alle relevanten Informationen gegeben?</w:t>
            </w:r>
          </w:p>
        </w:tc>
        <w:tc>
          <w:tcPr>
            <w:tcW w:w="4346" w:type="dxa"/>
          </w:tcPr>
          <w:p w14:paraId="6566E0DD" w14:textId="77777777" w:rsidR="00AF776C" w:rsidRPr="00AF776C" w:rsidRDefault="00AF776C" w:rsidP="00AF776C">
            <w:pPr>
              <w:numPr>
                <w:ilvl w:val="0"/>
                <w:numId w:val="1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Dem Betroffenen müssen alle relevanten Informationen vorliegen, um über die Zustimmung zur Verarbeitung seiner Daten entscheiden zu können.</w:t>
            </w:r>
          </w:p>
          <w:p w14:paraId="36CD6D54" w14:textId="77777777" w:rsidR="00AF776C" w:rsidRPr="00AF776C" w:rsidRDefault="00AF776C" w:rsidP="00AF776C">
            <w:pPr>
              <w:numPr>
                <w:ilvl w:val="0"/>
                <w:numId w:val="1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 xml:space="preserve">Denken Sie hier nicht nur an die konkrete Bezeichnung des oder der Verantwortlichen. Entscheidend </w:t>
            </w:r>
            <w:proofErr w:type="gramStart"/>
            <w:r w:rsidRPr="00AF776C">
              <w:rPr>
                <w:rFonts w:ascii="Arial" w:eastAsia="Calibri" w:hAnsi="Arial" w:cs="Times New Roman"/>
                <w:sz w:val="20"/>
              </w:rPr>
              <w:t>sind</w:t>
            </w:r>
            <w:proofErr w:type="gramEnd"/>
            <w:r w:rsidRPr="00AF776C">
              <w:rPr>
                <w:rFonts w:ascii="Arial" w:eastAsia="Calibri" w:hAnsi="Arial" w:cs="Times New Roman"/>
                <w:sz w:val="20"/>
              </w:rPr>
              <w:t xml:space="preserve"> auch der Zweck oder mögliche Empfänger. Gerade beim Zweck heißt es: konkret werden. Zu allgemeine Zwecke sind unspezifisch und können der Wirksamkeit der Einwilligung entgegenstehen.</w:t>
            </w:r>
          </w:p>
          <w:p w14:paraId="01E810B4" w14:textId="77777777" w:rsidR="00AF776C" w:rsidRPr="00AF776C" w:rsidRDefault="00AF776C" w:rsidP="00AF776C">
            <w:pPr>
              <w:numPr>
                <w:ilvl w:val="0"/>
                <w:numId w:val="1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Erforderlich sind alle Informationen, die einen Betroffenen in die Lage versetzen, in Kenntnis der Sachlage zu entscheiden. Vorsicht vor Intransparenz.</w:t>
            </w:r>
          </w:p>
        </w:tc>
        <w:tc>
          <w:tcPr>
            <w:tcW w:w="1696" w:type="dxa"/>
          </w:tcPr>
          <w:p w14:paraId="3ED56D0F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F776C" w:rsidRPr="00AF776C" w14:paraId="0C415F91" w14:textId="77777777" w:rsidTr="00AF57B1">
        <w:tc>
          <w:tcPr>
            <w:tcW w:w="3020" w:type="dxa"/>
          </w:tcPr>
          <w:p w14:paraId="643C4D40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Wird das Einverständnis aktiv durch eindeutiges Handeln erklärt?</w:t>
            </w:r>
          </w:p>
        </w:tc>
        <w:tc>
          <w:tcPr>
            <w:tcW w:w="4346" w:type="dxa"/>
          </w:tcPr>
          <w:p w14:paraId="786C7972" w14:textId="77777777" w:rsidR="00AF776C" w:rsidRPr="00AF776C" w:rsidRDefault="00AF776C" w:rsidP="00AF776C">
            <w:pPr>
              <w:numPr>
                <w:ilvl w:val="0"/>
                <w:numId w:val="2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Eine aktive zustimmende Handlung des Betroffenen ist unerlässlich. Das kann das Unterschreiben einer Einwilligung sein oder das Ankreuzen eines Felds auf der Webseite.</w:t>
            </w:r>
          </w:p>
          <w:p w14:paraId="747C0B83" w14:textId="77777777" w:rsidR="00AF776C" w:rsidRPr="00AF776C" w:rsidRDefault="00AF776C" w:rsidP="00AF776C">
            <w:pPr>
              <w:numPr>
                <w:ilvl w:val="0"/>
                <w:numId w:val="2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Es gibt nur die Variante „aktive Bestätigungshandlung“. Ein „Auswilligen“ kennt die DSGVO nicht.</w:t>
            </w:r>
          </w:p>
        </w:tc>
        <w:tc>
          <w:tcPr>
            <w:tcW w:w="1696" w:type="dxa"/>
          </w:tcPr>
          <w:p w14:paraId="55D29F98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F776C" w:rsidRPr="00AF776C" w14:paraId="166FF472" w14:textId="77777777" w:rsidTr="00AF57B1">
        <w:tc>
          <w:tcPr>
            <w:tcW w:w="3020" w:type="dxa"/>
          </w:tcPr>
          <w:p w14:paraId="42FBECE1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Kann sich der Betroffene frei entscheiden?</w:t>
            </w:r>
          </w:p>
        </w:tc>
        <w:tc>
          <w:tcPr>
            <w:tcW w:w="4346" w:type="dxa"/>
          </w:tcPr>
          <w:p w14:paraId="55BB5E36" w14:textId="77777777" w:rsidR="00AF776C" w:rsidRPr="00AF776C" w:rsidRDefault="00AF776C" w:rsidP="00AF776C">
            <w:pPr>
              <w:numPr>
                <w:ilvl w:val="0"/>
                <w:numId w:val="6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Die freiwillige Entscheidung zwischen Ja oder Nein zur betreffenden Verarbeitung personenbezogener Daten ist oft die entscheidende Wirksamkeitsvoraussetzung.</w:t>
            </w:r>
          </w:p>
          <w:p w14:paraId="101A1BBB" w14:textId="77777777" w:rsidR="00AF776C" w:rsidRPr="00AF776C" w:rsidRDefault="00AF776C" w:rsidP="00AF776C">
            <w:pPr>
              <w:numPr>
                <w:ilvl w:val="0"/>
                <w:numId w:val="6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 xml:space="preserve">Wird Druck auf den Betroffenen ausgeübt, wird er durch entsprechende Gestaltung zur Einwilligung gedrängt oder wird das </w:t>
            </w:r>
            <w:proofErr w:type="spellStart"/>
            <w:r w:rsidRPr="00AF776C">
              <w:rPr>
                <w:rFonts w:ascii="Arial" w:eastAsia="Calibri" w:hAnsi="Arial" w:cs="Times New Roman"/>
                <w:sz w:val="20"/>
              </w:rPr>
              <w:t>Nichteinverstandensein</w:t>
            </w:r>
            <w:proofErr w:type="spellEnd"/>
            <w:r w:rsidRPr="00AF776C">
              <w:rPr>
                <w:rFonts w:ascii="Arial" w:eastAsia="Calibri" w:hAnsi="Arial" w:cs="Times New Roman"/>
                <w:sz w:val="20"/>
              </w:rPr>
              <w:t xml:space="preserve"> im Gegensatz zur Zustimmung erschwert, fehlt es an der Freiwilligkeit. Die Einwilligung ist damit unwirksam.</w:t>
            </w:r>
          </w:p>
          <w:p w14:paraId="54A68DCE" w14:textId="77777777" w:rsidR="00AF776C" w:rsidRPr="00AF776C" w:rsidRDefault="00AF776C" w:rsidP="00AF776C">
            <w:pPr>
              <w:numPr>
                <w:ilvl w:val="0"/>
                <w:numId w:val="6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Die Freiwilligkeit spielt gerade im Beschäftigungsverhältnis eine besondere Rolle. Hier muss genau geprüft werden, ob beispielsweise das Abhängigkeitsverhältnis zum Arbeitgeber oder eine Drucksituation die Freiwilligkeit unzulässig einschränkt.</w:t>
            </w:r>
          </w:p>
        </w:tc>
        <w:tc>
          <w:tcPr>
            <w:tcW w:w="1696" w:type="dxa"/>
          </w:tcPr>
          <w:p w14:paraId="149AEC82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F776C" w:rsidRPr="00AF776C" w14:paraId="519A677B" w14:textId="77777777" w:rsidTr="00AF57B1">
        <w:tc>
          <w:tcPr>
            <w:tcW w:w="3020" w:type="dxa"/>
          </w:tcPr>
          <w:p w14:paraId="60017C40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Wurde das Koppelungsverbot beachtet?</w:t>
            </w:r>
          </w:p>
        </w:tc>
        <w:tc>
          <w:tcPr>
            <w:tcW w:w="4346" w:type="dxa"/>
          </w:tcPr>
          <w:p w14:paraId="34087DFD" w14:textId="77777777" w:rsidR="00AF776C" w:rsidRPr="00AF776C" w:rsidRDefault="00AF776C" w:rsidP="00AF776C">
            <w:pPr>
              <w:numPr>
                <w:ilvl w:val="0"/>
                <w:numId w:val="5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Wird der Abschluss eines Vertrags von der Einwilligung in die an sich für die Vertragserfüllung nicht erforderliche Verarbeitung personenbezogener Daten abhängig gemacht, liegt meist ein Verstoß gegen Art. 7 Abs. 4 DSGVO vor.</w:t>
            </w:r>
          </w:p>
          <w:p w14:paraId="44D62B7A" w14:textId="77777777" w:rsidR="00AF776C" w:rsidRPr="00AF776C" w:rsidRDefault="00AF776C" w:rsidP="00AF776C">
            <w:pPr>
              <w:numPr>
                <w:ilvl w:val="0"/>
                <w:numId w:val="5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Achten Sie darauf, dass hier das eine vom anderen getrennt wird. Der Vertrag im Onlineshop ist eine Sache. Etwas anderes ist die Angabe des Geburtstags für Geburtstagsgrüße.</w:t>
            </w:r>
          </w:p>
        </w:tc>
        <w:tc>
          <w:tcPr>
            <w:tcW w:w="1696" w:type="dxa"/>
          </w:tcPr>
          <w:p w14:paraId="674EB59E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F776C" w:rsidRPr="00AF776C" w14:paraId="3B469D77" w14:textId="77777777" w:rsidTr="00AF57B1">
        <w:tc>
          <w:tcPr>
            <w:tcW w:w="3020" w:type="dxa"/>
          </w:tcPr>
          <w:p w14:paraId="2B80C7E8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Wie steht es um die Widerruflichkeit der Einwilligung?</w:t>
            </w:r>
          </w:p>
        </w:tc>
        <w:tc>
          <w:tcPr>
            <w:tcW w:w="4346" w:type="dxa"/>
          </w:tcPr>
          <w:p w14:paraId="0681CA2E" w14:textId="77777777" w:rsidR="00AF776C" w:rsidRPr="00AF776C" w:rsidRDefault="00AF776C" w:rsidP="00AF776C">
            <w:pPr>
              <w:numPr>
                <w:ilvl w:val="0"/>
                <w:numId w:val="4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Einwilligungen können vom Betroffenen jederzeit und ohne Bedingung bzw. ohne Begründung widerrufen werden.</w:t>
            </w:r>
          </w:p>
          <w:p w14:paraId="3C35F158" w14:textId="77777777" w:rsidR="00AF776C" w:rsidRPr="00AF776C" w:rsidRDefault="00AF776C" w:rsidP="00AF776C">
            <w:pPr>
              <w:numPr>
                <w:ilvl w:val="0"/>
                <w:numId w:val="4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lastRenderedPageBreak/>
              <w:t>Klären Sie dazu auch, wie entsprechende Prozesse gestaltet sind, damit bei einem Widerruf keine weitere Verarbeitung stattfindet.</w:t>
            </w:r>
          </w:p>
        </w:tc>
        <w:tc>
          <w:tcPr>
            <w:tcW w:w="1696" w:type="dxa"/>
          </w:tcPr>
          <w:p w14:paraId="7C78A45E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lastRenderedPageBreak/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F776C" w:rsidRPr="00AF776C" w14:paraId="27F9A5CA" w14:textId="77777777" w:rsidTr="00AF57B1">
        <w:tc>
          <w:tcPr>
            <w:tcW w:w="3020" w:type="dxa"/>
          </w:tcPr>
          <w:p w14:paraId="1F13A6B0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Sind Besonderheiten für Kinder beachtet worden?</w:t>
            </w:r>
          </w:p>
        </w:tc>
        <w:tc>
          <w:tcPr>
            <w:tcW w:w="4346" w:type="dxa"/>
          </w:tcPr>
          <w:p w14:paraId="4FEE7A37" w14:textId="77777777" w:rsidR="00AF776C" w:rsidRPr="00AF776C" w:rsidRDefault="00AF776C" w:rsidP="00AF776C">
            <w:pPr>
              <w:numPr>
                <w:ilvl w:val="0"/>
                <w:numId w:val="4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 xml:space="preserve">Für Dienste der Informationsgesellschaft (z. B. soziales Netzwerk), die an Kinder gerichtet sind, gelten hinsichtlich der Einwilligung die Vorgaben des Art. 8 DSGVO. </w:t>
            </w:r>
          </w:p>
          <w:p w14:paraId="0AD36660" w14:textId="77777777" w:rsidR="00AF776C" w:rsidRPr="00AF776C" w:rsidRDefault="00AF776C" w:rsidP="00AF776C">
            <w:pPr>
              <w:numPr>
                <w:ilvl w:val="0"/>
                <w:numId w:val="4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Bei Personen unter 16 Jahren muss ein Erziehungsberechtigter die Einwilligung erklären.</w:t>
            </w:r>
          </w:p>
        </w:tc>
        <w:tc>
          <w:tcPr>
            <w:tcW w:w="1696" w:type="dxa"/>
          </w:tcPr>
          <w:p w14:paraId="6B0B34E8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  <w:tr w:rsidR="00AF776C" w:rsidRPr="00AF776C" w14:paraId="0FBF6E8B" w14:textId="77777777" w:rsidTr="00AF57B1">
        <w:tc>
          <w:tcPr>
            <w:tcW w:w="3020" w:type="dxa"/>
          </w:tcPr>
          <w:p w14:paraId="2F59F373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Ist die Einwilligung nachweisbar?</w:t>
            </w:r>
          </w:p>
        </w:tc>
        <w:tc>
          <w:tcPr>
            <w:tcW w:w="4346" w:type="dxa"/>
          </w:tcPr>
          <w:p w14:paraId="28DD5E0B" w14:textId="77777777" w:rsidR="00AF776C" w:rsidRPr="00AF776C" w:rsidRDefault="00AF776C" w:rsidP="00AF776C">
            <w:pPr>
              <w:numPr>
                <w:ilvl w:val="0"/>
                <w:numId w:val="3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Wer sich auf die Einwilligung als Rechtsgrundlage beruft, muss deren vorliegen sowie deren Wirksamkeit belegen und nachweisen können (Art. 7 Abs. 1 DSGVO).</w:t>
            </w:r>
          </w:p>
          <w:p w14:paraId="4F6D889D" w14:textId="77777777" w:rsidR="00AF776C" w:rsidRPr="00AF776C" w:rsidRDefault="00AF776C" w:rsidP="00AF776C">
            <w:pPr>
              <w:numPr>
                <w:ilvl w:val="0"/>
                <w:numId w:val="3"/>
              </w:num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t>Lassen Sie sich konkret erklären, wie man im Fall der Fälle den Nachweis führen will.</w:t>
            </w:r>
          </w:p>
        </w:tc>
        <w:tc>
          <w:tcPr>
            <w:tcW w:w="1696" w:type="dxa"/>
          </w:tcPr>
          <w:p w14:paraId="381EC6DA" w14:textId="77777777" w:rsidR="00AF776C" w:rsidRPr="00AF776C" w:rsidRDefault="00AF776C" w:rsidP="00AF776C">
            <w:pPr>
              <w:rPr>
                <w:rFonts w:ascii="Arial" w:eastAsia="Calibri" w:hAnsi="Arial" w:cs="Times New Roman"/>
                <w:sz w:val="20"/>
              </w:rPr>
            </w:pP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Ja </w:t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776C">
              <w:rPr>
                <w:rFonts w:ascii="Arial" w:eastAsia="Calibri" w:hAnsi="Arial" w:cs="Times New Roman"/>
                <w:sz w:val="20"/>
              </w:rPr>
              <w:instrText xml:space="preserve"> FORMCHECKBOX </w:instrText>
            </w:r>
            <w:r w:rsidRPr="00AF776C">
              <w:rPr>
                <w:rFonts w:ascii="Arial" w:eastAsia="Calibri" w:hAnsi="Arial" w:cs="Times New Roman"/>
                <w:sz w:val="20"/>
              </w:rPr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separate"/>
            </w:r>
            <w:r w:rsidRPr="00AF776C">
              <w:rPr>
                <w:rFonts w:ascii="Arial" w:eastAsia="Calibri" w:hAnsi="Arial" w:cs="Times New Roman"/>
                <w:sz w:val="20"/>
              </w:rPr>
              <w:fldChar w:fldCharType="end"/>
            </w:r>
            <w:r w:rsidRPr="00AF776C">
              <w:rPr>
                <w:rFonts w:ascii="Arial" w:eastAsia="Calibri" w:hAnsi="Arial" w:cs="Times New Roman"/>
                <w:sz w:val="20"/>
              </w:rPr>
              <w:t xml:space="preserve"> Nein</w:t>
            </w:r>
          </w:p>
        </w:tc>
      </w:tr>
    </w:tbl>
    <w:p w14:paraId="3E0079B4" w14:textId="77777777" w:rsidR="00AF776C" w:rsidRPr="00AF776C" w:rsidRDefault="00AF776C" w:rsidP="00AF776C">
      <w:pPr>
        <w:spacing w:after="0" w:line="240" w:lineRule="auto"/>
        <w:rPr>
          <w:rFonts w:ascii="Arial" w:eastAsia="Calibri" w:hAnsi="Arial" w:cs="Times New Roman"/>
          <w:kern w:val="0"/>
          <w:sz w:val="20"/>
          <w:szCs w:val="22"/>
          <w14:ligatures w14:val="none"/>
        </w:rPr>
      </w:pPr>
    </w:p>
    <w:p w14:paraId="3349B280" w14:textId="77777777" w:rsidR="00AF776C" w:rsidRPr="00AF776C" w:rsidRDefault="00AF776C" w:rsidP="00AF776C">
      <w:pPr>
        <w:spacing w:after="0" w:line="240" w:lineRule="auto"/>
        <w:rPr>
          <w:rFonts w:ascii="Arial" w:eastAsia="Calibri" w:hAnsi="Arial" w:cs="Times New Roman"/>
          <w:kern w:val="0"/>
          <w:sz w:val="20"/>
          <w:szCs w:val="22"/>
          <w14:ligatures w14:val="none"/>
        </w:rPr>
      </w:pPr>
    </w:p>
    <w:p w14:paraId="5244AEEC" w14:textId="77777777" w:rsidR="00AF776C" w:rsidRDefault="00AF776C"/>
    <w:sectPr w:rsidR="00AF776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9B3C09"/>
    <w:multiLevelType w:val="hybridMultilevel"/>
    <w:tmpl w:val="ED349D4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6CB4E56"/>
    <w:multiLevelType w:val="hybridMultilevel"/>
    <w:tmpl w:val="10AE5B4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AF75575"/>
    <w:multiLevelType w:val="hybridMultilevel"/>
    <w:tmpl w:val="4692A66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732022F"/>
    <w:multiLevelType w:val="hybridMultilevel"/>
    <w:tmpl w:val="EEA620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BF65DFF"/>
    <w:multiLevelType w:val="hybridMultilevel"/>
    <w:tmpl w:val="896456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3D00E5"/>
    <w:multiLevelType w:val="hybridMultilevel"/>
    <w:tmpl w:val="FEE6684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28596304">
    <w:abstractNumId w:val="3"/>
  </w:num>
  <w:num w:numId="2" w16cid:durableId="609511414">
    <w:abstractNumId w:val="0"/>
  </w:num>
  <w:num w:numId="3" w16cid:durableId="1158109978">
    <w:abstractNumId w:val="4"/>
  </w:num>
  <w:num w:numId="4" w16cid:durableId="268584451">
    <w:abstractNumId w:val="1"/>
  </w:num>
  <w:num w:numId="5" w16cid:durableId="1359621328">
    <w:abstractNumId w:val="2"/>
  </w:num>
  <w:num w:numId="6" w16cid:durableId="15640208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6C"/>
    <w:rsid w:val="00127ED1"/>
    <w:rsid w:val="00AF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17DC"/>
  <w15:chartTrackingRefBased/>
  <w15:docId w15:val="{CC94B823-1835-4BFF-9EF9-42FA195B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F77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F7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F77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F77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F77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F77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F77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F77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F77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F77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F77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F77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F776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F776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F776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F776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F776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F776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F77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F7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F77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F77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F7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F776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F776C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F776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F77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F776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F776C"/>
    <w:rPr>
      <w:b/>
      <w:bCs/>
      <w:smallCaps/>
      <w:color w:val="0F4761" w:themeColor="accent1" w:themeShade="BF"/>
      <w:spacing w:val="5"/>
    </w:rPr>
  </w:style>
  <w:style w:type="table" w:customStyle="1" w:styleId="Tabellenraster1">
    <w:name w:val="Tabellenraster1"/>
    <w:basedOn w:val="NormaleTabelle"/>
    <w:next w:val="Tabellenraster"/>
    <w:uiPriority w:val="59"/>
    <w:rsid w:val="00AF77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nraster">
    <w:name w:val="Table Grid"/>
    <w:basedOn w:val="NormaleTabelle"/>
    <w:uiPriority w:val="39"/>
    <w:rsid w:val="00AF7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462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Würtz</dc:creator>
  <cp:keywords/>
  <dc:description/>
  <cp:lastModifiedBy>Andreas Würtz</cp:lastModifiedBy>
  <cp:revision>1</cp:revision>
  <dcterms:created xsi:type="dcterms:W3CDTF">2025-10-16T18:14:00Z</dcterms:created>
  <dcterms:modified xsi:type="dcterms:W3CDTF">2025-10-16T18:15:00Z</dcterms:modified>
</cp:coreProperties>
</file>