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BE72" w14:textId="77777777" w:rsidR="00857DDA" w:rsidRPr="00813A90" w:rsidRDefault="00000000">
      <w:pPr>
        <w:shd w:val="clear" w:color="auto" w:fill="C3D842"/>
        <w:rPr>
          <w:lang w:val="de-DE"/>
        </w:rPr>
      </w:pPr>
      <w:r w:rsidRPr="00813A90">
        <w:rPr>
          <w:b/>
          <w:sz w:val="28"/>
          <w:lang w:val="de-DE"/>
        </w:rPr>
        <w:t>Checkliste: Handlungsempfehlungen</w:t>
      </w:r>
    </w:p>
    <w:p w14:paraId="177C0BE2" w14:textId="02161942" w:rsidR="00857DDA" w:rsidRPr="00813A90" w:rsidRDefault="00813A90">
      <w:pPr>
        <w:shd w:val="clear" w:color="auto" w:fill="6A6A6A"/>
        <w:rPr>
          <w:lang w:val="de-DE"/>
        </w:rPr>
      </w:pPr>
      <w:r>
        <w:rPr>
          <w:color w:val="FFFFFF"/>
          <w:lang w:val="de-DE"/>
        </w:rPr>
        <w:br/>
      </w:r>
      <w:r w:rsidR="00000000" w:rsidRPr="00813A90">
        <w:rPr>
          <w:color w:val="FFFFFF"/>
          <w:lang w:val="de-DE"/>
        </w:rPr>
        <w:t>Die folgende Checkliste fasst die Schritte von der Entdeckung bis zum Abschlussbericht zusammen.</w:t>
      </w:r>
    </w:p>
    <w:p w14:paraId="0CE0A94F" w14:textId="77777777" w:rsidR="00857DDA" w:rsidRPr="00813A90" w:rsidRDefault="00000000">
      <w:pPr>
        <w:shd w:val="clear" w:color="auto" w:fill="E7F1C6"/>
        <w:rPr>
          <w:lang w:val="de-DE"/>
        </w:rPr>
      </w:pPr>
      <w:proofErr w:type="gramStart"/>
      <w:r w:rsidRPr="00813A90">
        <w:rPr>
          <w:b/>
          <w:lang w:val="de-DE"/>
        </w:rPr>
        <w:t>☐  1.</w:t>
      </w:r>
      <w:proofErr w:type="gramEnd"/>
      <w:r w:rsidRPr="00813A90">
        <w:rPr>
          <w:b/>
          <w:lang w:val="de-DE"/>
        </w:rPr>
        <w:t xml:space="preserve"> Entdeckung</w:t>
      </w:r>
    </w:p>
    <w:p w14:paraId="21CBE4C3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Vorfall registrieren (Log-ID vergeben, Zeitstempel, Melder)</w:t>
      </w:r>
    </w:p>
    <w:p w14:paraId="2613D4FF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Schwellwertanalyse (sogenanntes Threshold-Assessment) anhand Risikomatrix (Verfügbarkeit, Integrität, Vertraulichkeit) durchführen</w:t>
      </w:r>
    </w:p>
    <w:p w14:paraId="61DF1167" w14:textId="77777777" w:rsidR="00857DDA" w:rsidRPr="00813A90" w:rsidRDefault="00000000">
      <w:pPr>
        <w:shd w:val="clear" w:color="auto" w:fill="E7F1C6"/>
        <w:rPr>
          <w:lang w:val="de-DE"/>
        </w:rPr>
      </w:pPr>
      <w:proofErr w:type="gramStart"/>
      <w:r w:rsidRPr="00813A90">
        <w:rPr>
          <w:b/>
          <w:lang w:val="de-DE"/>
        </w:rPr>
        <w:t>☐  2.</w:t>
      </w:r>
      <w:proofErr w:type="gramEnd"/>
      <w:r w:rsidRPr="00813A90">
        <w:rPr>
          <w:b/>
          <w:lang w:val="de-DE"/>
        </w:rPr>
        <w:t xml:space="preserve"> Sofortmaßnahmen</w:t>
      </w:r>
    </w:p>
    <w:p w14:paraId="45AB834B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Betroffene Systeme isolieren (Netzwerksegmente trennen, Accounts sperren)</w:t>
      </w:r>
    </w:p>
    <w:p w14:paraId="5FD8BD25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Forensische Sicherung starten (Bit-genaue Images, Log-Exports)</w:t>
      </w:r>
    </w:p>
    <w:p w14:paraId="18DD19AC" w14:textId="77777777" w:rsidR="00857DDA" w:rsidRPr="00813A90" w:rsidRDefault="00000000">
      <w:pPr>
        <w:shd w:val="clear" w:color="auto" w:fill="E7F1C6"/>
        <w:rPr>
          <w:lang w:val="de-DE"/>
        </w:rPr>
      </w:pPr>
      <w:proofErr w:type="gramStart"/>
      <w:r w:rsidRPr="00813A90">
        <w:rPr>
          <w:b/>
          <w:lang w:val="de-DE"/>
        </w:rPr>
        <w:t>☐  3.</w:t>
      </w:r>
      <w:proofErr w:type="gramEnd"/>
      <w:r w:rsidRPr="00813A90">
        <w:rPr>
          <w:b/>
          <w:lang w:val="de-DE"/>
        </w:rPr>
        <w:t xml:space="preserve"> Risikobewertung</w:t>
      </w:r>
    </w:p>
    <w:p w14:paraId="752E9E2B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Kategorie personenbezogener Daten bestimmen: normal/besonders sensibel (Art. 9 DSGVO)</w:t>
      </w:r>
    </w:p>
    <w:p w14:paraId="1876CACA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Schadenpotenzial und Eintrittswahrscheinlichkeit abschätzen; Ergebnis dokumentieren</w:t>
      </w:r>
    </w:p>
    <w:p w14:paraId="204E61E7" w14:textId="77777777" w:rsidR="00857DDA" w:rsidRPr="00813A90" w:rsidRDefault="00000000">
      <w:pPr>
        <w:shd w:val="clear" w:color="auto" w:fill="E7F1C6"/>
        <w:rPr>
          <w:lang w:val="de-DE"/>
        </w:rPr>
      </w:pPr>
      <w:proofErr w:type="gramStart"/>
      <w:r w:rsidRPr="00813A90">
        <w:rPr>
          <w:b/>
          <w:lang w:val="de-DE"/>
        </w:rPr>
        <w:t>☐  4.</w:t>
      </w:r>
      <w:proofErr w:type="gramEnd"/>
      <w:r w:rsidRPr="00813A90">
        <w:rPr>
          <w:b/>
          <w:lang w:val="de-DE"/>
        </w:rPr>
        <w:t xml:space="preserve"> Entscheidung Meldepflicht (Art. 33 DSGVO)</w:t>
      </w:r>
    </w:p>
    <w:p w14:paraId="7A0EAF6F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Risiko nicht auszuschließen: Meldung; Risiko praktisch ausgeschlossen: nur interne Dokumentation</w:t>
      </w:r>
    </w:p>
    <w:p w14:paraId="206D3155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Meldung über Online-Formular der zuständigen Datenschutzaufsichtsbehörde</w:t>
      </w:r>
    </w:p>
    <w:p w14:paraId="180A5509" w14:textId="77777777" w:rsidR="00857DDA" w:rsidRPr="00813A90" w:rsidRDefault="00000000">
      <w:pPr>
        <w:shd w:val="clear" w:color="auto" w:fill="E7F1C6"/>
        <w:rPr>
          <w:lang w:val="de-DE"/>
        </w:rPr>
      </w:pPr>
      <w:proofErr w:type="gramStart"/>
      <w:r w:rsidRPr="00813A90">
        <w:rPr>
          <w:b/>
          <w:lang w:val="de-DE"/>
        </w:rPr>
        <w:t>☐  5.</w:t>
      </w:r>
      <w:proofErr w:type="gramEnd"/>
      <w:r w:rsidRPr="00813A90">
        <w:rPr>
          <w:b/>
          <w:lang w:val="de-DE"/>
        </w:rPr>
        <w:t xml:space="preserve"> Benachrichtigung Art. 34 DSGVO</w:t>
      </w:r>
    </w:p>
    <w:p w14:paraId="5F6CF4DD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Hohes Risiko? Wenn ja, dann individuelle Benachrichtigung oder öffentliche Bekanntmachung</w:t>
      </w:r>
    </w:p>
    <w:p w14:paraId="71FA9DC5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Musterschreiben mit klarer, einfacher Sprache nutzen</w:t>
      </w:r>
    </w:p>
    <w:p w14:paraId="36838674" w14:textId="77777777" w:rsidR="00857DDA" w:rsidRPr="00813A90" w:rsidRDefault="00000000">
      <w:pPr>
        <w:shd w:val="clear" w:color="auto" w:fill="E7F1C6"/>
        <w:rPr>
          <w:lang w:val="de-DE"/>
        </w:rPr>
      </w:pPr>
      <w:proofErr w:type="gramStart"/>
      <w:r w:rsidRPr="00813A90">
        <w:rPr>
          <w:b/>
          <w:lang w:val="de-DE"/>
        </w:rPr>
        <w:t>☐  6.</w:t>
      </w:r>
      <w:proofErr w:type="gramEnd"/>
      <w:r w:rsidRPr="00813A90">
        <w:rPr>
          <w:b/>
          <w:lang w:val="de-DE"/>
        </w:rPr>
        <w:t xml:space="preserve"> Follow-</w:t>
      </w:r>
      <w:proofErr w:type="spellStart"/>
      <w:r w:rsidRPr="00813A90">
        <w:rPr>
          <w:b/>
          <w:lang w:val="de-DE"/>
        </w:rPr>
        <w:t>up</w:t>
      </w:r>
      <w:proofErr w:type="spellEnd"/>
      <w:r w:rsidRPr="00813A90">
        <w:rPr>
          <w:b/>
          <w:lang w:val="de-DE"/>
        </w:rPr>
        <w:t xml:space="preserve"> und Dokumentation</w:t>
      </w:r>
    </w:p>
    <w:p w14:paraId="6EC9DB97" w14:textId="77777777" w:rsidR="00857DDA" w:rsidRPr="00813A90" w:rsidRDefault="00000000" w:rsidP="00813A90">
      <w:pPr>
        <w:shd w:val="clear" w:color="auto" w:fill="E7F1C6"/>
        <w:rPr>
          <w:lang w:val="de-DE"/>
        </w:rPr>
      </w:pPr>
      <w:r w:rsidRPr="00813A90">
        <w:rPr>
          <w:lang w:val="de-DE"/>
        </w:rPr>
        <w:t>➤ Vorfall-Bericht innerhalb von 30 Tagen finalisieren; Abhilfemaßnahmen nachverfolgen</w:t>
      </w:r>
    </w:p>
    <w:p w14:paraId="50FA2CAF" w14:textId="77777777" w:rsidR="00857DDA" w:rsidRDefault="00000000" w:rsidP="00813A90">
      <w:pPr>
        <w:shd w:val="clear" w:color="auto" w:fill="E7F1C6"/>
      </w:pPr>
      <w:r>
        <w:t xml:space="preserve">➤ „Lessons </w:t>
      </w:r>
      <w:proofErr w:type="gramStart"/>
      <w:r>
        <w:t>Learned“</w:t>
      </w:r>
      <w:proofErr w:type="gramEnd"/>
      <w:r>
        <w:t xml:space="preserve">-Workshop </w:t>
      </w:r>
      <w:proofErr w:type="spellStart"/>
      <w:r>
        <w:t>durchführen</w:t>
      </w:r>
      <w:proofErr w:type="spellEnd"/>
      <w:r>
        <w:t>; DSMS aktualisieren</w:t>
      </w:r>
    </w:p>
    <w:sectPr w:rsidR="00857DDA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EDF2" w14:textId="77777777" w:rsidR="004F0C7D" w:rsidRDefault="004F0C7D" w:rsidP="00813A90">
      <w:pPr>
        <w:spacing w:after="0" w:line="240" w:lineRule="auto"/>
      </w:pPr>
      <w:r>
        <w:separator/>
      </w:r>
    </w:p>
  </w:endnote>
  <w:endnote w:type="continuationSeparator" w:id="0">
    <w:p w14:paraId="4C53F945" w14:textId="77777777" w:rsidR="004F0C7D" w:rsidRDefault="004F0C7D" w:rsidP="0081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1981" w14:textId="77777777" w:rsidR="00813A90" w:rsidRDefault="00813A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DDB9" w14:textId="31D983FE" w:rsidR="00813A90" w:rsidRDefault="00813A90">
    <w:pPr>
      <w:pStyle w:val="Fuzeile"/>
    </w:pPr>
    <w:r>
      <w:rPr>
        <w:rFonts w:cstheme="minorHAnsi"/>
      </w:rPr>
      <w:t>©</w:t>
    </w:r>
    <w:r>
      <w:t xml:space="preserve"> </w:t>
    </w:r>
    <w:proofErr w:type="spellStart"/>
    <w:r>
      <w:t>PrivacyXperts</w:t>
    </w:r>
    <w:proofErr w:type="spellEnd"/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593DB" wp14:editId="446355A5">
              <wp:simplePos x="0" y="0"/>
              <wp:positionH relativeFrom="page">
                <wp:posOffset>38100</wp:posOffset>
              </wp:positionH>
              <wp:positionV relativeFrom="paragraph">
                <wp:posOffset>198483</wp:posOffset>
              </wp:positionV>
              <wp:extent cx="7729855" cy="414655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55" cy="414655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9291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3pt;margin-top:15.65pt;width:608.65pt;height:32.65pt;flip:x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" fillcolor="#a9d65e" stroked="f" strokeweight="2pt"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4ED1" w14:textId="77777777" w:rsidR="00813A90" w:rsidRDefault="00813A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1547" w14:textId="77777777" w:rsidR="004F0C7D" w:rsidRDefault="004F0C7D" w:rsidP="00813A90">
      <w:pPr>
        <w:spacing w:after="0" w:line="240" w:lineRule="auto"/>
      </w:pPr>
      <w:r>
        <w:separator/>
      </w:r>
    </w:p>
  </w:footnote>
  <w:footnote w:type="continuationSeparator" w:id="0">
    <w:p w14:paraId="0EF822CB" w14:textId="77777777" w:rsidR="004F0C7D" w:rsidRDefault="004F0C7D" w:rsidP="0081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E372" w14:textId="77777777" w:rsidR="00813A90" w:rsidRDefault="00813A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E088" w14:textId="6A5D9C70" w:rsidR="00813A90" w:rsidRDefault="00813A90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475FE9" wp14:editId="76B4129D">
              <wp:simplePos x="0" y="0"/>
              <wp:positionH relativeFrom="margin">
                <wp:posOffset>-1114879</wp:posOffset>
              </wp:positionH>
              <wp:positionV relativeFrom="paragraph">
                <wp:posOffset>-447675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B79A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-87.8pt;margin-top:-35.25pt;width:608.65pt;height:32.65pt;rotation:180;flip:x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vOSUX+AAAAAMAQAADwAAAAAAAAAAAAAAAADnBAAAZHJzL2Rvd25yZXYueG1s&#10;UEsFBgAAAAAEAAQA8wAAAPQFAAAAAA==&#10;" fillcolor="#a9d65e" stroked="f" strokeweight="2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3718" w14:textId="77777777" w:rsidR="00813A90" w:rsidRDefault="00813A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210447">
    <w:abstractNumId w:val="8"/>
  </w:num>
  <w:num w:numId="2" w16cid:durableId="1755742077">
    <w:abstractNumId w:val="6"/>
  </w:num>
  <w:num w:numId="3" w16cid:durableId="1243564819">
    <w:abstractNumId w:val="5"/>
  </w:num>
  <w:num w:numId="4" w16cid:durableId="809901803">
    <w:abstractNumId w:val="4"/>
  </w:num>
  <w:num w:numId="5" w16cid:durableId="499470479">
    <w:abstractNumId w:val="7"/>
  </w:num>
  <w:num w:numId="6" w16cid:durableId="652180704">
    <w:abstractNumId w:val="3"/>
  </w:num>
  <w:num w:numId="7" w16cid:durableId="750002009">
    <w:abstractNumId w:val="2"/>
  </w:num>
  <w:num w:numId="8" w16cid:durableId="2113284482">
    <w:abstractNumId w:val="1"/>
  </w:num>
  <w:num w:numId="9" w16cid:durableId="3457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C7D"/>
    <w:rsid w:val="00661943"/>
    <w:rsid w:val="00813A90"/>
    <w:rsid w:val="00857DD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E58BF"/>
  <w14:defaultImageDpi w14:val="300"/>
  <w15:docId w15:val="{A5024AC1-091F-4186-BC25-CA4D645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FJR - Franziska Rohrbach</cp:lastModifiedBy>
  <cp:revision>2</cp:revision>
  <dcterms:created xsi:type="dcterms:W3CDTF">2013-12-23T23:15:00Z</dcterms:created>
  <dcterms:modified xsi:type="dcterms:W3CDTF">2025-11-17T16:24:00Z</dcterms:modified>
  <cp:category/>
</cp:coreProperties>
</file>