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E2D03" w14:textId="77777777" w:rsidR="008138E4" w:rsidRPr="003020D0" w:rsidRDefault="008138E4" w:rsidP="008138E4">
      <w:pPr>
        <w:pStyle w:val="KeinLeerraum"/>
        <w:rPr>
          <w:b/>
          <w:bCs/>
        </w:rPr>
      </w:pPr>
      <w:bookmarkStart w:id="0" w:name="_GoBack"/>
      <w:r w:rsidRPr="003020D0">
        <w:rPr>
          <w:b/>
          <w:bCs/>
        </w:rPr>
        <w:t>Checkliste: Schwerpunkte für ein Know-how-Update</w:t>
      </w:r>
    </w:p>
    <w:bookmarkEnd w:id="0"/>
    <w:p w14:paraId="6B71A507" w14:textId="77777777" w:rsidR="008138E4" w:rsidRDefault="008138E4" w:rsidP="008138E4">
      <w:pPr>
        <w:pStyle w:val="KeinLeerraum"/>
      </w:pPr>
    </w:p>
    <w:tbl>
      <w:tblPr>
        <w:tblStyle w:val="Tabellenraster"/>
        <w:tblW w:w="0" w:type="auto"/>
        <w:tblLook w:val="04A0" w:firstRow="1" w:lastRow="0" w:firstColumn="1" w:lastColumn="0" w:noHBand="0" w:noVBand="1"/>
      </w:tblPr>
      <w:tblGrid>
        <w:gridCol w:w="2972"/>
        <w:gridCol w:w="4394"/>
        <w:gridCol w:w="1696"/>
      </w:tblGrid>
      <w:tr w:rsidR="008138E4" w14:paraId="23A25A5C" w14:textId="77777777" w:rsidTr="00E804E1">
        <w:tc>
          <w:tcPr>
            <w:tcW w:w="2972" w:type="dxa"/>
            <w:shd w:val="clear" w:color="auto" w:fill="D9E2F3" w:themeFill="accent1" w:themeFillTint="33"/>
          </w:tcPr>
          <w:p w14:paraId="01D4EEB0" w14:textId="77777777" w:rsidR="008138E4" w:rsidRPr="00B43B34" w:rsidRDefault="008138E4" w:rsidP="00E804E1">
            <w:pPr>
              <w:pStyle w:val="KeinLeerraum"/>
              <w:rPr>
                <w:b/>
                <w:bCs/>
              </w:rPr>
            </w:pPr>
            <w:r w:rsidRPr="00280263">
              <w:rPr>
                <w:b/>
                <w:bCs/>
                <w:sz w:val="18"/>
                <w:szCs w:val="20"/>
              </w:rPr>
              <w:t>Schwerpunktthema</w:t>
            </w:r>
          </w:p>
        </w:tc>
        <w:tc>
          <w:tcPr>
            <w:tcW w:w="4394" w:type="dxa"/>
            <w:shd w:val="clear" w:color="auto" w:fill="D9E2F3" w:themeFill="accent1" w:themeFillTint="33"/>
          </w:tcPr>
          <w:p w14:paraId="60D59434" w14:textId="77777777" w:rsidR="008138E4" w:rsidRPr="00B43B34" w:rsidRDefault="008138E4" w:rsidP="00E804E1">
            <w:pPr>
              <w:pStyle w:val="KeinLeerraum"/>
              <w:rPr>
                <w:b/>
                <w:bCs/>
              </w:rPr>
            </w:pPr>
            <w:r w:rsidRPr="00B43B34">
              <w:rPr>
                <w:b/>
                <w:bCs/>
              </w:rPr>
              <w:t xml:space="preserve">Das sind typische </w:t>
            </w:r>
            <w:r w:rsidRPr="00FE3386">
              <w:rPr>
                <w:b/>
                <w:bCs/>
              </w:rPr>
              <w:t>Lernfelder</w:t>
            </w:r>
          </w:p>
        </w:tc>
        <w:tc>
          <w:tcPr>
            <w:tcW w:w="1696" w:type="dxa"/>
            <w:shd w:val="clear" w:color="auto" w:fill="D9E2F3" w:themeFill="accent1" w:themeFillTint="33"/>
          </w:tcPr>
          <w:p w14:paraId="7CA3668E" w14:textId="77777777" w:rsidR="008138E4" w:rsidRPr="00B43B34" w:rsidRDefault="008138E4" w:rsidP="00E804E1">
            <w:pPr>
              <w:pStyle w:val="KeinLeerraum"/>
              <w:rPr>
                <w:b/>
                <w:bCs/>
              </w:rPr>
            </w:pPr>
            <w:r>
              <w:rPr>
                <w:b/>
                <w:bCs/>
              </w:rPr>
              <w:t xml:space="preserve">Gutes </w:t>
            </w:r>
            <w:r w:rsidRPr="00B43B34">
              <w:rPr>
                <w:b/>
                <w:bCs/>
              </w:rPr>
              <w:t>Know-how</w:t>
            </w:r>
            <w:r>
              <w:rPr>
                <w:b/>
                <w:bCs/>
              </w:rPr>
              <w:t xml:space="preserve"> </w:t>
            </w:r>
            <w:r w:rsidRPr="00B43B34">
              <w:rPr>
                <w:b/>
                <w:bCs/>
              </w:rPr>
              <w:t>vorhanden?</w:t>
            </w:r>
          </w:p>
        </w:tc>
      </w:tr>
      <w:tr w:rsidR="008138E4" w14:paraId="2AF3F01F" w14:textId="77777777" w:rsidTr="00E804E1">
        <w:tc>
          <w:tcPr>
            <w:tcW w:w="2972" w:type="dxa"/>
          </w:tcPr>
          <w:p w14:paraId="2671502B" w14:textId="77777777" w:rsidR="008138E4" w:rsidRDefault="008138E4" w:rsidP="00E804E1">
            <w:pPr>
              <w:pStyle w:val="KeinLeerraum"/>
            </w:pPr>
            <w:r>
              <w:t>Grundsätze der Verarbeitung</w:t>
            </w:r>
          </w:p>
        </w:tc>
        <w:tc>
          <w:tcPr>
            <w:tcW w:w="4394" w:type="dxa"/>
          </w:tcPr>
          <w:p w14:paraId="641D45CE" w14:textId="77777777" w:rsidR="008138E4" w:rsidRDefault="008138E4" w:rsidP="00E804E1">
            <w:pPr>
              <w:pStyle w:val="KeinLeerraum"/>
            </w:pPr>
            <w:r>
              <w:t xml:space="preserve">Beschäftigen Sie sich mit den sich aus Art. 5 Abs. 1 DSGVO ergebenden Grundsätzen. Diese gelten für alle Verarbeitungen personenbezogener Daten und müssen insofern immer beachtet werden. Vollziehen Sie nach, was es mit den einzelnen Grundsätzen auf sich hat. </w:t>
            </w:r>
          </w:p>
        </w:tc>
        <w:tc>
          <w:tcPr>
            <w:tcW w:w="1696" w:type="dxa"/>
          </w:tcPr>
          <w:p w14:paraId="520BD4EA" w14:textId="77777777" w:rsidR="008138E4" w:rsidRDefault="008138E4" w:rsidP="00E804E1">
            <w:pPr>
              <w:pStyle w:val="KeinLeerraum"/>
            </w:pPr>
            <w:r w:rsidRPr="00A26025">
              <w:fldChar w:fldCharType="begin">
                <w:ffData>
                  <w:name w:val="Kontrollkästchen1"/>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Ja </w:t>
            </w:r>
            <w:r w:rsidRPr="00A26025">
              <w:fldChar w:fldCharType="begin">
                <w:ffData>
                  <w:name w:val="Kontrollkästchen2"/>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Nein</w:t>
            </w:r>
          </w:p>
        </w:tc>
      </w:tr>
      <w:tr w:rsidR="008138E4" w14:paraId="66E7A9DF" w14:textId="77777777" w:rsidTr="00E804E1">
        <w:tc>
          <w:tcPr>
            <w:tcW w:w="2972" w:type="dxa"/>
          </w:tcPr>
          <w:p w14:paraId="6B4FAA4E" w14:textId="77777777" w:rsidR="008138E4" w:rsidRDefault="008138E4" w:rsidP="00E804E1">
            <w:pPr>
              <w:pStyle w:val="KeinLeerraum"/>
            </w:pPr>
            <w:r>
              <w:t>Rechtsgrundlagen</w:t>
            </w:r>
          </w:p>
        </w:tc>
        <w:tc>
          <w:tcPr>
            <w:tcW w:w="4394" w:type="dxa"/>
          </w:tcPr>
          <w:p w14:paraId="6A455264" w14:textId="77777777" w:rsidR="008138E4" w:rsidRDefault="008138E4" w:rsidP="00E804E1">
            <w:pPr>
              <w:pStyle w:val="KeinLeerraum"/>
            </w:pPr>
            <w:r>
              <w:t>Ein Verarbeiten personenbezogener Daten ohne eine Rechtsgrundlage, sprich eine Verpflichtung oder Erlaubnis, ist unzulässig. Arbeiten Sie die einzelnen Rechtsgrundlagen aus Art. 6 Abs. 1 DSGVO durch. Die dort enthaltenen Rechtsgrundlagen sind abschließend, sodass Sie sich gut mit den Voraussetzungen auskennen sollten.</w:t>
            </w:r>
          </w:p>
        </w:tc>
        <w:tc>
          <w:tcPr>
            <w:tcW w:w="1696" w:type="dxa"/>
          </w:tcPr>
          <w:p w14:paraId="0076C171" w14:textId="77777777" w:rsidR="008138E4" w:rsidRDefault="008138E4" w:rsidP="00E804E1">
            <w:pPr>
              <w:pStyle w:val="KeinLeerraum"/>
            </w:pPr>
            <w:r w:rsidRPr="00A26025">
              <w:fldChar w:fldCharType="begin">
                <w:ffData>
                  <w:name w:val="Kontrollkästchen1"/>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Ja </w:t>
            </w:r>
            <w:r w:rsidRPr="00A26025">
              <w:fldChar w:fldCharType="begin">
                <w:ffData>
                  <w:name w:val="Kontrollkästchen2"/>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Nein</w:t>
            </w:r>
          </w:p>
        </w:tc>
      </w:tr>
      <w:tr w:rsidR="008138E4" w14:paraId="2A79248C" w14:textId="77777777" w:rsidTr="00E804E1">
        <w:tc>
          <w:tcPr>
            <w:tcW w:w="2972" w:type="dxa"/>
          </w:tcPr>
          <w:p w14:paraId="606CB517" w14:textId="77777777" w:rsidR="008138E4" w:rsidRDefault="008138E4" w:rsidP="00E804E1">
            <w:pPr>
              <w:pStyle w:val="KeinLeerraum"/>
            </w:pPr>
            <w:r>
              <w:t>Einwilligungen</w:t>
            </w:r>
          </w:p>
        </w:tc>
        <w:tc>
          <w:tcPr>
            <w:tcW w:w="4394" w:type="dxa"/>
          </w:tcPr>
          <w:p w14:paraId="456C19EF" w14:textId="77777777" w:rsidR="008138E4" w:rsidRDefault="008138E4" w:rsidP="00E804E1">
            <w:pPr>
              <w:pStyle w:val="KeinLeerraum"/>
            </w:pPr>
            <w:r>
              <w:t>Von besonderer Bedeutung sind hier die Vorgaben aus Art. 7, 8 und 4 Nr. 11 DSGVO. Geht es um Einwilligungen im Beschäftigungsverhältnis, kommt § 26 Abs. 2 BDSG hinzu. Arbeiten Sie die einzelnen Vorschriften durch. Das geht am besten mit Fachbüchern bzw. mit aktuellen Gesetzeskommentaren.</w:t>
            </w:r>
          </w:p>
        </w:tc>
        <w:tc>
          <w:tcPr>
            <w:tcW w:w="1696" w:type="dxa"/>
          </w:tcPr>
          <w:p w14:paraId="5F2BB2D9" w14:textId="77777777" w:rsidR="008138E4" w:rsidRDefault="008138E4" w:rsidP="00E804E1">
            <w:pPr>
              <w:pStyle w:val="KeinLeerraum"/>
            </w:pPr>
            <w:r w:rsidRPr="00A26025">
              <w:fldChar w:fldCharType="begin">
                <w:ffData>
                  <w:name w:val="Kontrollkästchen1"/>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Ja </w:t>
            </w:r>
            <w:r w:rsidRPr="00A26025">
              <w:fldChar w:fldCharType="begin">
                <w:ffData>
                  <w:name w:val="Kontrollkästchen2"/>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Nein</w:t>
            </w:r>
          </w:p>
        </w:tc>
      </w:tr>
      <w:tr w:rsidR="008138E4" w14:paraId="2CDA8C63" w14:textId="77777777" w:rsidTr="00E804E1">
        <w:tc>
          <w:tcPr>
            <w:tcW w:w="2972" w:type="dxa"/>
          </w:tcPr>
          <w:p w14:paraId="047BD00D" w14:textId="77777777" w:rsidR="008138E4" w:rsidRDefault="008138E4" w:rsidP="00E804E1">
            <w:pPr>
              <w:pStyle w:val="KeinLeerraum"/>
            </w:pPr>
            <w:r>
              <w:t>Beschäftigtendatenschutz</w:t>
            </w:r>
          </w:p>
        </w:tc>
        <w:tc>
          <w:tcPr>
            <w:tcW w:w="4394" w:type="dxa"/>
          </w:tcPr>
          <w:p w14:paraId="1CE93740" w14:textId="77777777" w:rsidR="008138E4" w:rsidRDefault="008138E4" w:rsidP="00E804E1">
            <w:pPr>
              <w:pStyle w:val="KeinLeerraum"/>
            </w:pPr>
            <w:r>
              <w:t>Hier kann es wichtig sein, dass Sie Ihr Wissen auf den aktuellen Stand bringen. So halten deutsche Bundesgerichte (z. B. Bundesverwaltungsgericht, Bundesarbeitsgericht) nach entsprechenden Entscheidungen des Europäischen Gerichtshofs § 26 Abs. 1 Satz 1 für europarechtswidrig. Damit ist er nicht mehr anwendbar. Die Lösung: Art. 6 Abs. 1 Satz 1 Buchst. b DSGVO (Verarbeitung zu Vertragszwecken) kann auch im Beschäftigungsverhältnis als Rechtsgrundlage dienen.</w:t>
            </w:r>
          </w:p>
        </w:tc>
        <w:tc>
          <w:tcPr>
            <w:tcW w:w="1696" w:type="dxa"/>
          </w:tcPr>
          <w:p w14:paraId="39F95264" w14:textId="77777777" w:rsidR="008138E4" w:rsidRDefault="008138E4" w:rsidP="00E804E1">
            <w:pPr>
              <w:pStyle w:val="KeinLeerraum"/>
            </w:pPr>
            <w:r w:rsidRPr="00A26025">
              <w:fldChar w:fldCharType="begin">
                <w:ffData>
                  <w:name w:val="Kontrollkästchen1"/>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Ja </w:t>
            </w:r>
            <w:r w:rsidRPr="00A26025">
              <w:fldChar w:fldCharType="begin">
                <w:ffData>
                  <w:name w:val="Kontrollkästchen2"/>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Nein</w:t>
            </w:r>
          </w:p>
        </w:tc>
      </w:tr>
      <w:tr w:rsidR="008138E4" w14:paraId="02444564" w14:textId="77777777" w:rsidTr="00E804E1">
        <w:tc>
          <w:tcPr>
            <w:tcW w:w="2972" w:type="dxa"/>
          </w:tcPr>
          <w:p w14:paraId="5748856F" w14:textId="77777777" w:rsidR="008138E4" w:rsidRDefault="008138E4" w:rsidP="00E804E1">
            <w:pPr>
              <w:pStyle w:val="KeinLeerraum"/>
            </w:pPr>
            <w:r>
              <w:t>Betroffenenrechte allgemein</w:t>
            </w:r>
          </w:p>
        </w:tc>
        <w:tc>
          <w:tcPr>
            <w:tcW w:w="4394" w:type="dxa"/>
          </w:tcPr>
          <w:p w14:paraId="1433DA81" w14:textId="77777777" w:rsidR="008138E4" w:rsidRDefault="008138E4" w:rsidP="00E804E1">
            <w:pPr>
              <w:pStyle w:val="KeinLeerraum"/>
            </w:pPr>
            <w:r>
              <w:t xml:space="preserve">Machen Sie sich mit den für alle Betroffenenrechte relevanten Rahmenbedingungen vertraut. Die wichtigste Hausnummer ist hier Art. 12 DSGVO. Sie sollten bestens dazu Bescheid wissen, wer ein solches Recht wie geltend machen kann und wie Ihr </w:t>
            </w:r>
            <w:r w:rsidRPr="00FE3386">
              <w:t>Unternehmen</w:t>
            </w:r>
            <w:r>
              <w:t xml:space="preserve"> dem nachkommen muss. Auch ist wichtig, welche Fristen gelten oder dass ein Betroffener identifiziert werden muss.</w:t>
            </w:r>
          </w:p>
        </w:tc>
        <w:tc>
          <w:tcPr>
            <w:tcW w:w="1696" w:type="dxa"/>
          </w:tcPr>
          <w:p w14:paraId="24523EE9" w14:textId="77777777" w:rsidR="008138E4" w:rsidRDefault="008138E4" w:rsidP="00E804E1">
            <w:pPr>
              <w:pStyle w:val="KeinLeerraum"/>
            </w:pPr>
            <w:r w:rsidRPr="00A26025">
              <w:fldChar w:fldCharType="begin">
                <w:ffData>
                  <w:name w:val="Kontrollkästchen1"/>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Ja </w:t>
            </w:r>
            <w:r w:rsidRPr="00A26025">
              <w:fldChar w:fldCharType="begin">
                <w:ffData>
                  <w:name w:val="Kontrollkästchen2"/>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Nein</w:t>
            </w:r>
          </w:p>
        </w:tc>
      </w:tr>
      <w:tr w:rsidR="008138E4" w14:paraId="62464523" w14:textId="77777777" w:rsidTr="00E804E1">
        <w:tc>
          <w:tcPr>
            <w:tcW w:w="2972" w:type="dxa"/>
          </w:tcPr>
          <w:p w14:paraId="1026D184" w14:textId="77777777" w:rsidR="008138E4" w:rsidRDefault="008138E4" w:rsidP="00E804E1">
            <w:pPr>
              <w:pStyle w:val="KeinLeerraum"/>
            </w:pPr>
            <w:r>
              <w:t>Informationspflichten</w:t>
            </w:r>
          </w:p>
        </w:tc>
        <w:tc>
          <w:tcPr>
            <w:tcW w:w="4394" w:type="dxa"/>
          </w:tcPr>
          <w:p w14:paraId="3C4073AC" w14:textId="77777777" w:rsidR="008138E4" w:rsidRDefault="008138E4" w:rsidP="00E804E1">
            <w:pPr>
              <w:pStyle w:val="KeinLeerraum"/>
            </w:pPr>
            <w:r>
              <w:t xml:space="preserve">Hier geht es insbesondere um Art. 13 und 14 DSGVO. Zu den Rahmenbedingungen und den konkreten Anforderungen sollten Sie auskunftsfähig sein. Auch ist für Sie </w:t>
            </w:r>
            <w:r w:rsidRPr="00FE3386">
              <w:t>wichtig</w:t>
            </w:r>
            <w:r>
              <w:t xml:space="preserve"> zu wissen, worauf es aus Sicht der Aufsichtsbehörden ankommt, etwa die leichte Verfügbarkeit von Informationen, deren Verständlichkeit und Vollständigkeit.</w:t>
            </w:r>
          </w:p>
        </w:tc>
        <w:tc>
          <w:tcPr>
            <w:tcW w:w="1696" w:type="dxa"/>
          </w:tcPr>
          <w:p w14:paraId="0FA2593D" w14:textId="77777777" w:rsidR="008138E4" w:rsidRDefault="008138E4" w:rsidP="00E804E1">
            <w:pPr>
              <w:pStyle w:val="KeinLeerraum"/>
            </w:pPr>
            <w:r w:rsidRPr="00A26025">
              <w:fldChar w:fldCharType="begin">
                <w:ffData>
                  <w:name w:val="Kontrollkästchen1"/>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Ja </w:t>
            </w:r>
            <w:r w:rsidRPr="00A26025">
              <w:fldChar w:fldCharType="begin">
                <w:ffData>
                  <w:name w:val="Kontrollkästchen2"/>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Nein</w:t>
            </w:r>
          </w:p>
        </w:tc>
      </w:tr>
      <w:tr w:rsidR="008138E4" w14:paraId="3CE76E6F" w14:textId="77777777" w:rsidTr="00E804E1">
        <w:tc>
          <w:tcPr>
            <w:tcW w:w="2972" w:type="dxa"/>
          </w:tcPr>
          <w:p w14:paraId="3CD73099" w14:textId="77777777" w:rsidR="008138E4" w:rsidRDefault="008138E4" w:rsidP="00E804E1">
            <w:pPr>
              <w:pStyle w:val="KeinLeerraum"/>
            </w:pPr>
            <w:r>
              <w:t>Recht auf Auskunft und Löschung</w:t>
            </w:r>
          </w:p>
        </w:tc>
        <w:tc>
          <w:tcPr>
            <w:tcW w:w="4394" w:type="dxa"/>
          </w:tcPr>
          <w:p w14:paraId="2670321A" w14:textId="77777777" w:rsidR="008138E4" w:rsidRDefault="008138E4" w:rsidP="00E804E1">
            <w:pPr>
              <w:pStyle w:val="KeinLeerraum"/>
            </w:pPr>
            <w:r>
              <w:t xml:space="preserve">Diese Rechte klingen zunächst nicht besonders anspruchsvoll. Doch der Teufel steckt hier im Detail. So sollten Sie sich damit </w:t>
            </w:r>
            <w:r>
              <w:lastRenderedPageBreak/>
              <w:t>auskennen, in welchem Umfang Auskunft gegeben werden muss, welche Informationen verweigert werden können und wie eine Auskunft bereitgestellt werden kann. Auch beim Löschen gibt es viele rechtliche Stolperfallen. Umso wichtiger ist, dass Sie sich mit den Rahmenbedingungen auseinandersetzen, beispielsweise unter Zuhilfenahme eines Gesetzeskommentars zur DSGVO.</w:t>
            </w:r>
          </w:p>
        </w:tc>
        <w:tc>
          <w:tcPr>
            <w:tcW w:w="1696" w:type="dxa"/>
          </w:tcPr>
          <w:p w14:paraId="393EE517" w14:textId="77777777" w:rsidR="008138E4" w:rsidRDefault="008138E4" w:rsidP="00E804E1">
            <w:pPr>
              <w:pStyle w:val="KeinLeerraum"/>
            </w:pPr>
            <w:r w:rsidRPr="00A26025">
              <w:lastRenderedPageBreak/>
              <w:fldChar w:fldCharType="begin">
                <w:ffData>
                  <w:name w:val="Kontrollkästchen1"/>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Ja </w:t>
            </w:r>
            <w:r w:rsidRPr="00A26025">
              <w:fldChar w:fldCharType="begin">
                <w:ffData>
                  <w:name w:val="Kontrollkästchen2"/>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Nein</w:t>
            </w:r>
          </w:p>
        </w:tc>
      </w:tr>
      <w:tr w:rsidR="008138E4" w14:paraId="522AE6D3" w14:textId="77777777" w:rsidTr="00E804E1">
        <w:tc>
          <w:tcPr>
            <w:tcW w:w="2972" w:type="dxa"/>
          </w:tcPr>
          <w:p w14:paraId="15847251" w14:textId="77777777" w:rsidR="008138E4" w:rsidRDefault="008138E4" w:rsidP="00E804E1">
            <w:pPr>
              <w:pStyle w:val="KeinLeerraum"/>
            </w:pPr>
            <w:r>
              <w:t>Erstellung und Umsetzung von Löschkonzepten</w:t>
            </w:r>
          </w:p>
        </w:tc>
        <w:tc>
          <w:tcPr>
            <w:tcW w:w="4394" w:type="dxa"/>
          </w:tcPr>
          <w:p w14:paraId="152246AD" w14:textId="77777777" w:rsidR="008138E4" w:rsidRDefault="008138E4" w:rsidP="00E804E1">
            <w:pPr>
              <w:pStyle w:val="KeinLeerraum"/>
            </w:pPr>
            <w:r>
              <w:t>Zwar ist das Festlegen von Löschfristen und die Umsetzung der Löschung Sache des Verantwortlichen bzw. der zuständigen Abteilungen Ihres Unternehmens. Jedoch werden Sie häufig um Rat gefragt werden. Beschäftigen Sie sich also mit den einschlägigen Rahmenbedingungen bzw. mit den Sichtweisen der Datenschutzaufsichtsbehörden.</w:t>
            </w:r>
          </w:p>
        </w:tc>
        <w:tc>
          <w:tcPr>
            <w:tcW w:w="1696" w:type="dxa"/>
          </w:tcPr>
          <w:p w14:paraId="5EFE05A1" w14:textId="77777777" w:rsidR="008138E4" w:rsidRDefault="008138E4" w:rsidP="00E804E1">
            <w:pPr>
              <w:pStyle w:val="KeinLeerraum"/>
            </w:pPr>
            <w:r w:rsidRPr="00A26025">
              <w:fldChar w:fldCharType="begin">
                <w:ffData>
                  <w:name w:val="Kontrollkästchen1"/>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Ja </w:t>
            </w:r>
            <w:r w:rsidRPr="00A26025">
              <w:fldChar w:fldCharType="begin">
                <w:ffData>
                  <w:name w:val="Kontrollkästchen2"/>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Nein</w:t>
            </w:r>
          </w:p>
        </w:tc>
      </w:tr>
      <w:tr w:rsidR="008138E4" w14:paraId="6227DAB2" w14:textId="77777777" w:rsidTr="00E804E1">
        <w:tc>
          <w:tcPr>
            <w:tcW w:w="2972" w:type="dxa"/>
          </w:tcPr>
          <w:p w14:paraId="52E617B9" w14:textId="77777777" w:rsidR="008138E4" w:rsidRDefault="008138E4" w:rsidP="00E804E1">
            <w:pPr>
              <w:pStyle w:val="KeinLeerraum"/>
            </w:pPr>
            <w:r>
              <w:t>Datenschutzfreundliche Gestaltung von Verarbeitungen</w:t>
            </w:r>
          </w:p>
        </w:tc>
        <w:tc>
          <w:tcPr>
            <w:tcW w:w="4394" w:type="dxa"/>
          </w:tcPr>
          <w:p w14:paraId="602903B3" w14:textId="77777777" w:rsidR="008138E4" w:rsidRDefault="008138E4" w:rsidP="00E804E1">
            <w:pPr>
              <w:pStyle w:val="KeinLeerraum"/>
            </w:pPr>
            <w:r>
              <w:t>Hier geht es um „Datenschutz durch Technikgestaltung und Voreinstellungen“, sprich um die Vorgaben aus Art. 25 DSGVO. Machen Sie sich damit vertraut, worauf es ankommt. So zum Beispiel, dass die Umsetzung Sache des Verantwortlichen ist und gerade nicht des Herstellers oder Anbieters eines Produkts oder einer Datenverarbeitung.</w:t>
            </w:r>
          </w:p>
        </w:tc>
        <w:tc>
          <w:tcPr>
            <w:tcW w:w="1696" w:type="dxa"/>
          </w:tcPr>
          <w:p w14:paraId="207FCEA9" w14:textId="77777777" w:rsidR="008138E4" w:rsidRDefault="008138E4" w:rsidP="00E804E1">
            <w:pPr>
              <w:pStyle w:val="KeinLeerraum"/>
            </w:pPr>
            <w:r w:rsidRPr="00A26025">
              <w:fldChar w:fldCharType="begin">
                <w:ffData>
                  <w:name w:val="Kontrollkästchen1"/>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Ja </w:t>
            </w:r>
            <w:r w:rsidRPr="00A26025">
              <w:fldChar w:fldCharType="begin">
                <w:ffData>
                  <w:name w:val="Kontrollkästchen2"/>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Nein</w:t>
            </w:r>
          </w:p>
        </w:tc>
      </w:tr>
      <w:tr w:rsidR="008138E4" w14:paraId="7FE4F420" w14:textId="77777777" w:rsidTr="00E804E1">
        <w:tc>
          <w:tcPr>
            <w:tcW w:w="2972" w:type="dxa"/>
          </w:tcPr>
          <w:p w14:paraId="2DFDCC6F" w14:textId="77777777" w:rsidR="008138E4" w:rsidRDefault="008138E4" w:rsidP="00E804E1">
            <w:pPr>
              <w:pStyle w:val="KeinLeerraum"/>
            </w:pPr>
            <w:r>
              <w:t>Technisch-organisatorische Schutzmaßnahmen</w:t>
            </w:r>
          </w:p>
        </w:tc>
        <w:tc>
          <w:tcPr>
            <w:tcW w:w="4394" w:type="dxa"/>
          </w:tcPr>
          <w:p w14:paraId="7C989C22" w14:textId="77777777" w:rsidR="008138E4" w:rsidRDefault="008138E4" w:rsidP="00E804E1">
            <w:pPr>
              <w:pStyle w:val="KeinLeerraum"/>
            </w:pPr>
            <w:r>
              <w:t>Die sich aus Art. 32 DSGVO ergebenden Anforderungen sind für jede Verarbeitung wichtig. Wird hier gepatzt oder sind die Maßnahmen unzureichend, kann es leicht zu Datenschutzverstößen oder Datenpannen kommen. Beschäftigen Sie sich mit den einzelnen Anforderungen und Zielen. Dabei sollten Sie beispielsweise auch ein Auge auf Art. 32 Abs. 2 DSGVO haben. Der schreibt Risikoorientierung ausdrücklich vor. Lehrreich können hier auch Tätigkeitsberichte von Aufsichtsbehörden sein, denn oft führen unzureichende Maßnahmen zu Datenschutzverstößen.</w:t>
            </w:r>
          </w:p>
        </w:tc>
        <w:tc>
          <w:tcPr>
            <w:tcW w:w="1696" w:type="dxa"/>
          </w:tcPr>
          <w:p w14:paraId="05AAAE14" w14:textId="77777777" w:rsidR="008138E4" w:rsidRDefault="008138E4" w:rsidP="00E804E1">
            <w:pPr>
              <w:pStyle w:val="KeinLeerraum"/>
            </w:pPr>
            <w:r w:rsidRPr="00A26025">
              <w:fldChar w:fldCharType="begin">
                <w:ffData>
                  <w:name w:val="Kontrollkästchen1"/>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Ja </w:t>
            </w:r>
            <w:r w:rsidRPr="00A26025">
              <w:fldChar w:fldCharType="begin">
                <w:ffData>
                  <w:name w:val="Kontrollkästchen2"/>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Nein</w:t>
            </w:r>
          </w:p>
        </w:tc>
      </w:tr>
      <w:tr w:rsidR="008138E4" w14:paraId="36A777AF" w14:textId="77777777" w:rsidTr="00E804E1">
        <w:tc>
          <w:tcPr>
            <w:tcW w:w="2972" w:type="dxa"/>
          </w:tcPr>
          <w:p w14:paraId="0D767F0B" w14:textId="77777777" w:rsidR="008138E4" w:rsidRDefault="008138E4" w:rsidP="00E804E1">
            <w:pPr>
              <w:pStyle w:val="KeinLeerraum"/>
            </w:pPr>
            <w:r>
              <w:t>Datenschutz-Folgenabschätzung (DSFA)</w:t>
            </w:r>
          </w:p>
        </w:tc>
        <w:tc>
          <w:tcPr>
            <w:tcW w:w="4394" w:type="dxa"/>
          </w:tcPr>
          <w:p w14:paraId="15F46F96" w14:textId="77777777" w:rsidR="008138E4" w:rsidRDefault="008138E4" w:rsidP="00E804E1">
            <w:pPr>
              <w:pStyle w:val="KeinLeerraum"/>
            </w:pPr>
            <w:r>
              <w:t>Setzen Sie sich mit den Rahmenbedingungen in Art. 35 DSGVO auseinander. Dabei sollten Sie auch ein Auge auf die Veröffentlichungen von Aufsichtsbehörden für den Datenschutz haben. Wichtig in diesem Zusammenhang ist etwa die zur Erfüllung von Art. 35 Abs. 4 DSGVO erstellte „DSFA-Muss-Liste“ der deutschen Datenschutzaufsichtsbehörden. Diese enthält Verarbeitungen, die regelmäßig eine DSFA erfordern.</w:t>
            </w:r>
          </w:p>
        </w:tc>
        <w:tc>
          <w:tcPr>
            <w:tcW w:w="1696" w:type="dxa"/>
          </w:tcPr>
          <w:p w14:paraId="5D6995DF" w14:textId="77777777" w:rsidR="008138E4" w:rsidRDefault="008138E4" w:rsidP="00E804E1">
            <w:pPr>
              <w:pStyle w:val="KeinLeerraum"/>
            </w:pPr>
            <w:r w:rsidRPr="00A26025">
              <w:fldChar w:fldCharType="begin">
                <w:ffData>
                  <w:name w:val="Kontrollkästchen1"/>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Ja </w:t>
            </w:r>
            <w:r w:rsidRPr="00A26025">
              <w:fldChar w:fldCharType="begin">
                <w:ffData>
                  <w:name w:val="Kontrollkästchen2"/>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Nein</w:t>
            </w:r>
          </w:p>
        </w:tc>
      </w:tr>
      <w:tr w:rsidR="008138E4" w14:paraId="5AC1657E" w14:textId="77777777" w:rsidTr="00E804E1">
        <w:tc>
          <w:tcPr>
            <w:tcW w:w="2972" w:type="dxa"/>
          </w:tcPr>
          <w:p w14:paraId="51A74F16" w14:textId="77777777" w:rsidR="008138E4" w:rsidRDefault="008138E4" w:rsidP="00E804E1">
            <w:pPr>
              <w:pStyle w:val="KeinLeerraum"/>
            </w:pPr>
            <w:r>
              <w:t>Datenpannen</w:t>
            </w:r>
          </w:p>
        </w:tc>
        <w:tc>
          <w:tcPr>
            <w:tcW w:w="4394" w:type="dxa"/>
          </w:tcPr>
          <w:p w14:paraId="1A91E905" w14:textId="77777777" w:rsidR="008138E4" w:rsidRDefault="008138E4" w:rsidP="00E804E1">
            <w:pPr>
              <w:pStyle w:val="KeinLeerraum"/>
            </w:pPr>
            <w:r>
              <w:t xml:space="preserve">Damit Sie im Fall der Fälle schnell und gut beraten können, sollten Sie sich in diesem Bereich gut auskennen. Beschäftigen Sie sich damit, was Art. 33, 34 DSGVO vorschreiben. Wichtig ist etwa, wann eine Meldung an die Aufsichtsbehörde erforderlich ist und wann Betroffene über das Passierte informiert werden müssen. Zudem kann es wichtig sein, dass Sie wissen, wie die in Art. 33 Abs. 1 Satz </w:t>
            </w:r>
            <w:r>
              <w:lastRenderedPageBreak/>
              <w:t>1 DSGVO erwähnte 72-Stunden-Frist zu berechnen ist.</w:t>
            </w:r>
          </w:p>
        </w:tc>
        <w:tc>
          <w:tcPr>
            <w:tcW w:w="1696" w:type="dxa"/>
          </w:tcPr>
          <w:p w14:paraId="6AA5191D" w14:textId="77777777" w:rsidR="008138E4" w:rsidRDefault="008138E4" w:rsidP="00E804E1">
            <w:pPr>
              <w:pStyle w:val="KeinLeerraum"/>
            </w:pPr>
            <w:r w:rsidRPr="00A26025">
              <w:lastRenderedPageBreak/>
              <w:fldChar w:fldCharType="begin">
                <w:ffData>
                  <w:name w:val="Kontrollkästchen1"/>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Ja </w:t>
            </w:r>
            <w:r w:rsidRPr="00A26025">
              <w:fldChar w:fldCharType="begin">
                <w:ffData>
                  <w:name w:val="Kontrollkästchen2"/>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Nein</w:t>
            </w:r>
          </w:p>
        </w:tc>
      </w:tr>
      <w:tr w:rsidR="008138E4" w14:paraId="0069666A" w14:textId="77777777" w:rsidTr="00E804E1">
        <w:tc>
          <w:tcPr>
            <w:tcW w:w="2972" w:type="dxa"/>
          </w:tcPr>
          <w:p w14:paraId="485F8B8F" w14:textId="77777777" w:rsidR="008138E4" w:rsidRDefault="008138E4" w:rsidP="00E804E1">
            <w:pPr>
              <w:pStyle w:val="KeinLeerraum"/>
            </w:pPr>
            <w:r>
              <w:t>Videoüberwachung</w:t>
            </w:r>
          </w:p>
        </w:tc>
        <w:tc>
          <w:tcPr>
            <w:tcW w:w="4394" w:type="dxa"/>
          </w:tcPr>
          <w:p w14:paraId="1479BF4C" w14:textId="77777777" w:rsidR="008138E4" w:rsidRDefault="008138E4" w:rsidP="00E804E1">
            <w:pPr>
              <w:pStyle w:val="KeinLeerraum"/>
            </w:pPr>
            <w:r>
              <w:t>Aktualisieren Sie Ihr Wissen rund um das Thema Videoüberwachung. Hierzu können Sie in vielen Tätigkeitsberichten der Aufsichtsbehörden Fälle aus der Praxis finden. Schauen Sie sich zudem die Rahmenbedingungen an. Dabei ist wichtig: § 4 BDSG wird als nicht europarechtskonform angesehen. Insofern muss sich die Rechtsgrundlage aus Art. 6 DSGVO ergeben. Meist wird hier auf das überwiegende berechtigte Interesse gesetzt (Art. 6 Abs. 1 Satz 1 Buchst. f DSGVO). Arbeiten Sie durch, wie eine entsprechende Prüfung bzw. Abwägung erfolgen muss.</w:t>
            </w:r>
          </w:p>
        </w:tc>
        <w:tc>
          <w:tcPr>
            <w:tcW w:w="1696" w:type="dxa"/>
          </w:tcPr>
          <w:p w14:paraId="1DAC91FD" w14:textId="77777777" w:rsidR="008138E4" w:rsidRDefault="008138E4" w:rsidP="00E804E1">
            <w:pPr>
              <w:pStyle w:val="KeinLeerraum"/>
            </w:pPr>
            <w:r w:rsidRPr="00A26025">
              <w:fldChar w:fldCharType="begin">
                <w:ffData>
                  <w:name w:val="Kontrollkästchen1"/>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Ja </w:t>
            </w:r>
            <w:r w:rsidRPr="00A26025">
              <w:fldChar w:fldCharType="begin">
                <w:ffData>
                  <w:name w:val="Kontrollkästchen2"/>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Nein</w:t>
            </w:r>
          </w:p>
        </w:tc>
      </w:tr>
      <w:tr w:rsidR="008138E4" w14:paraId="4A3A69D8" w14:textId="77777777" w:rsidTr="00E804E1">
        <w:tc>
          <w:tcPr>
            <w:tcW w:w="2972" w:type="dxa"/>
          </w:tcPr>
          <w:p w14:paraId="668A9944" w14:textId="77777777" w:rsidR="008138E4" w:rsidRDefault="008138E4" w:rsidP="00E804E1">
            <w:pPr>
              <w:pStyle w:val="KeinLeerraum"/>
            </w:pPr>
            <w:r>
              <w:t>Verzeichnis von Verarbeitungstätigkeiten</w:t>
            </w:r>
          </w:p>
        </w:tc>
        <w:tc>
          <w:tcPr>
            <w:tcW w:w="4394" w:type="dxa"/>
          </w:tcPr>
          <w:p w14:paraId="6E26BEB6" w14:textId="77777777" w:rsidR="008138E4" w:rsidRDefault="008138E4" w:rsidP="00E804E1">
            <w:pPr>
              <w:pStyle w:val="KeinLeerraum"/>
            </w:pPr>
            <w:r>
              <w:t>Das Verzeichnis von Verarbeitungstätigkeiten ist ein wichtiges Arbeitsmittel für Sie. Damit es auch brauchbar ist, muss es inhaltlich passen und aktuell sein. Beschäftigen Sie sich mit den Rahmenbedingungen aus Art. 30 DSGVO und den Anforderungen an die verschiedenen Verzeichnisse.</w:t>
            </w:r>
          </w:p>
        </w:tc>
        <w:tc>
          <w:tcPr>
            <w:tcW w:w="1696" w:type="dxa"/>
          </w:tcPr>
          <w:p w14:paraId="5F6F41C1" w14:textId="77777777" w:rsidR="008138E4" w:rsidRDefault="008138E4" w:rsidP="00E804E1">
            <w:pPr>
              <w:pStyle w:val="KeinLeerraum"/>
            </w:pPr>
            <w:r w:rsidRPr="00A26025">
              <w:fldChar w:fldCharType="begin">
                <w:ffData>
                  <w:name w:val="Kontrollkästchen1"/>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Ja </w:t>
            </w:r>
            <w:r w:rsidRPr="00A26025">
              <w:fldChar w:fldCharType="begin">
                <w:ffData>
                  <w:name w:val="Kontrollkästchen2"/>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Nein</w:t>
            </w:r>
          </w:p>
        </w:tc>
      </w:tr>
      <w:tr w:rsidR="008138E4" w14:paraId="521CA9D9" w14:textId="77777777" w:rsidTr="00E804E1">
        <w:tc>
          <w:tcPr>
            <w:tcW w:w="2972" w:type="dxa"/>
          </w:tcPr>
          <w:p w14:paraId="3DFB706A" w14:textId="77777777" w:rsidR="008138E4" w:rsidRDefault="008138E4" w:rsidP="00E804E1">
            <w:pPr>
              <w:pStyle w:val="KeinLeerraum"/>
            </w:pPr>
            <w:r>
              <w:t>Auftragsverarbeitung</w:t>
            </w:r>
          </w:p>
        </w:tc>
        <w:tc>
          <w:tcPr>
            <w:tcW w:w="4394" w:type="dxa"/>
          </w:tcPr>
          <w:p w14:paraId="72147064" w14:textId="77777777" w:rsidR="008138E4" w:rsidRDefault="008138E4" w:rsidP="00E804E1">
            <w:pPr>
              <w:pStyle w:val="KeinLeerraum"/>
            </w:pPr>
            <w:r>
              <w:t>Art. 28 DSGVO wird Ihnen als zentrale Vorschrift bestimmt geläufig sein. Doch kennen Sie sich auch mit den Details aus? Arbeiten Sie am besten mit einem Gesetzeskommentar die einzelnen Anforderungen durch.</w:t>
            </w:r>
          </w:p>
        </w:tc>
        <w:tc>
          <w:tcPr>
            <w:tcW w:w="1696" w:type="dxa"/>
          </w:tcPr>
          <w:p w14:paraId="15289D06" w14:textId="77777777" w:rsidR="008138E4" w:rsidRDefault="008138E4" w:rsidP="00E804E1">
            <w:pPr>
              <w:pStyle w:val="KeinLeerraum"/>
            </w:pPr>
            <w:r w:rsidRPr="00A26025">
              <w:fldChar w:fldCharType="begin">
                <w:ffData>
                  <w:name w:val="Kontrollkästchen1"/>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Ja </w:t>
            </w:r>
            <w:r w:rsidRPr="00A26025">
              <w:fldChar w:fldCharType="begin">
                <w:ffData>
                  <w:name w:val="Kontrollkästchen2"/>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Nein</w:t>
            </w:r>
          </w:p>
        </w:tc>
      </w:tr>
      <w:tr w:rsidR="008138E4" w14:paraId="14777548" w14:textId="77777777" w:rsidTr="00E804E1">
        <w:tc>
          <w:tcPr>
            <w:tcW w:w="2972" w:type="dxa"/>
          </w:tcPr>
          <w:p w14:paraId="30ACCC4A" w14:textId="77777777" w:rsidR="008138E4" w:rsidRDefault="008138E4" w:rsidP="00E804E1">
            <w:pPr>
              <w:pStyle w:val="KeinLeerraum"/>
            </w:pPr>
            <w:r>
              <w:t>Datentransfers</w:t>
            </w:r>
          </w:p>
        </w:tc>
        <w:tc>
          <w:tcPr>
            <w:tcW w:w="4394" w:type="dxa"/>
          </w:tcPr>
          <w:p w14:paraId="70260048" w14:textId="77777777" w:rsidR="008138E4" w:rsidRDefault="008138E4" w:rsidP="00E804E1">
            <w:pPr>
              <w:pStyle w:val="KeinLeerraum"/>
            </w:pPr>
            <w:r>
              <w:t>Kapitel V der DSGVO macht Vorgaben dazu, wenn es zur Verarbeitung personenbezogener Daten außerhalb der EU kommt. Prüfen Sie kritisch, inwieweit Ihr Wissen hier auf aktuellem Stand ist. Schauen Sie dazu auch in die Tätigkeitsberichte der Aufsichtsbehörden.</w:t>
            </w:r>
          </w:p>
        </w:tc>
        <w:tc>
          <w:tcPr>
            <w:tcW w:w="1696" w:type="dxa"/>
          </w:tcPr>
          <w:p w14:paraId="7CE5BC58" w14:textId="77777777" w:rsidR="008138E4" w:rsidRDefault="008138E4" w:rsidP="00E804E1">
            <w:pPr>
              <w:pStyle w:val="KeinLeerraum"/>
            </w:pPr>
            <w:r w:rsidRPr="00A26025">
              <w:fldChar w:fldCharType="begin">
                <w:ffData>
                  <w:name w:val="Kontrollkästchen1"/>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Ja </w:t>
            </w:r>
            <w:r w:rsidRPr="00A26025">
              <w:fldChar w:fldCharType="begin">
                <w:ffData>
                  <w:name w:val="Kontrollkästchen2"/>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Nein</w:t>
            </w:r>
          </w:p>
        </w:tc>
      </w:tr>
      <w:tr w:rsidR="008138E4" w14:paraId="45D54CF3" w14:textId="77777777" w:rsidTr="00E804E1">
        <w:tc>
          <w:tcPr>
            <w:tcW w:w="2972" w:type="dxa"/>
          </w:tcPr>
          <w:p w14:paraId="45DB01A1" w14:textId="77777777" w:rsidR="008138E4" w:rsidRDefault="008138E4" w:rsidP="00E804E1">
            <w:pPr>
              <w:pStyle w:val="KeinLeerraum"/>
            </w:pPr>
            <w:r>
              <w:t>Marketing und Newsletter</w:t>
            </w:r>
          </w:p>
        </w:tc>
        <w:tc>
          <w:tcPr>
            <w:tcW w:w="4394" w:type="dxa"/>
          </w:tcPr>
          <w:p w14:paraId="7DDA5959" w14:textId="77777777" w:rsidR="008138E4" w:rsidRDefault="008138E4" w:rsidP="00E804E1">
            <w:pPr>
              <w:pStyle w:val="KeinLeerraum"/>
            </w:pPr>
            <w:r>
              <w:t>Werbung ist für jedes Unternehmen wichtig. Daher ist es entscheidend, dass Sie auch hier gut beraten können. Dabei kommt es nicht nur auf die Anforderungen der DSGVO an. Oft sind andere Vorgaben entscheidend, etwa solche aus dem Gesetz gegen unlauteren Wettbewerb (UWG). Gerade im Zusammenhang mit Werbung sollten Sie über § 7 UWG gut Bescheid wissen.</w:t>
            </w:r>
          </w:p>
        </w:tc>
        <w:tc>
          <w:tcPr>
            <w:tcW w:w="1696" w:type="dxa"/>
          </w:tcPr>
          <w:p w14:paraId="3CA29FB2" w14:textId="77777777" w:rsidR="008138E4" w:rsidRDefault="008138E4" w:rsidP="00E804E1">
            <w:pPr>
              <w:pStyle w:val="KeinLeerraum"/>
            </w:pPr>
            <w:r w:rsidRPr="00A26025">
              <w:fldChar w:fldCharType="begin">
                <w:ffData>
                  <w:name w:val="Kontrollkästchen1"/>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Ja </w:t>
            </w:r>
            <w:r w:rsidRPr="00A26025">
              <w:fldChar w:fldCharType="begin">
                <w:ffData>
                  <w:name w:val="Kontrollkästchen2"/>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Nein</w:t>
            </w:r>
          </w:p>
        </w:tc>
      </w:tr>
      <w:tr w:rsidR="008138E4" w14:paraId="2D8EEAFD" w14:textId="77777777" w:rsidTr="00E804E1">
        <w:tc>
          <w:tcPr>
            <w:tcW w:w="2972" w:type="dxa"/>
          </w:tcPr>
          <w:p w14:paraId="22F5E597" w14:textId="77777777" w:rsidR="008138E4" w:rsidRDefault="008138E4" w:rsidP="00E804E1">
            <w:pPr>
              <w:pStyle w:val="KeinLeerraum"/>
            </w:pPr>
            <w:r>
              <w:t>Schulung und Awareness</w:t>
            </w:r>
          </w:p>
        </w:tc>
        <w:tc>
          <w:tcPr>
            <w:tcW w:w="4394" w:type="dxa"/>
          </w:tcPr>
          <w:p w14:paraId="4E758721" w14:textId="77777777" w:rsidR="008138E4" w:rsidRDefault="008138E4" w:rsidP="00E804E1">
            <w:pPr>
              <w:pStyle w:val="KeinLeerraum"/>
            </w:pPr>
            <w:r>
              <w:t xml:space="preserve">Das Unterrichten (sprich das Informieren) der Beschäftigten zu Datenschutzrelevantem ist Teil </w:t>
            </w:r>
            <w:r w:rsidRPr="00FE3386">
              <w:t>Ihres gesetzlichen Aufgabenportfolios</w:t>
            </w:r>
            <w:r>
              <w:t xml:space="preserve"> (Art. 39 Abs. 1 Buchst. a DSGVO). Beschäftigen Sie sich auch damit, welche Aktivitäten Sie starten und wie Sie Wissen vermitteln können. Dabei ist Risikoorientierung wichtig.</w:t>
            </w:r>
          </w:p>
        </w:tc>
        <w:tc>
          <w:tcPr>
            <w:tcW w:w="1696" w:type="dxa"/>
          </w:tcPr>
          <w:p w14:paraId="0DCDDC73" w14:textId="77777777" w:rsidR="008138E4" w:rsidRDefault="008138E4" w:rsidP="00E804E1">
            <w:pPr>
              <w:pStyle w:val="KeinLeerraum"/>
            </w:pPr>
            <w:r w:rsidRPr="00A26025">
              <w:fldChar w:fldCharType="begin">
                <w:ffData>
                  <w:name w:val="Kontrollkästchen1"/>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Ja </w:t>
            </w:r>
            <w:r w:rsidRPr="00A26025">
              <w:fldChar w:fldCharType="begin">
                <w:ffData>
                  <w:name w:val="Kontrollkästchen2"/>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Nein</w:t>
            </w:r>
          </w:p>
        </w:tc>
      </w:tr>
      <w:tr w:rsidR="008138E4" w14:paraId="5CBD2140" w14:textId="77777777" w:rsidTr="00E804E1">
        <w:tc>
          <w:tcPr>
            <w:tcW w:w="2972" w:type="dxa"/>
          </w:tcPr>
          <w:p w14:paraId="5ED9C320" w14:textId="77777777" w:rsidR="008138E4" w:rsidRDefault="008138E4" w:rsidP="00E804E1">
            <w:pPr>
              <w:pStyle w:val="KeinLeerraum"/>
            </w:pPr>
            <w:r>
              <w:t>Betriebsrat und Mitbestimmung</w:t>
            </w:r>
          </w:p>
        </w:tc>
        <w:tc>
          <w:tcPr>
            <w:tcW w:w="4394" w:type="dxa"/>
          </w:tcPr>
          <w:p w14:paraId="631F8CF2" w14:textId="77777777" w:rsidR="008138E4" w:rsidRDefault="008138E4" w:rsidP="00E804E1">
            <w:pPr>
              <w:pStyle w:val="KeinLeerraum"/>
            </w:pPr>
            <w:r>
              <w:t xml:space="preserve">Gerade in 2026 ist dieses Thema besonders wichtig. Schließlich gibt es ggf. auch in Ihrem Unternehmen im Frühjahr Betriebsratswahlen. Setzen Sie sich auch mit Ihrer Rolle als Datenschutzbeauftragter und Ihrem Verhältnis zum Datenschutzbeauftragten auseinander. Hier lohnt es sich, wenn Sie sich mit Art. 79a Betriebsverfassungsgesetz beschäftigen. </w:t>
            </w:r>
          </w:p>
        </w:tc>
        <w:tc>
          <w:tcPr>
            <w:tcW w:w="1696" w:type="dxa"/>
          </w:tcPr>
          <w:p w14:paraId="4C6F1673" w14:textId="77777777" w:rsidR="008138E4" w:rsidRDefault="008138E4" w:rsidP="00E804E1">
            <w:pPr>
              <w:pStyle w:val="KeinLeerraum"/>
            </w:pPr>
            <w:r w:rsidRPr="00A26025">
              <w:fldChar w:fldCharType="begin">
                <w:ffData>
                  <w:name w:val="Kontrollkästchen1"/>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Ja </w:t>
            </w:r>
            <w:r w:rsidRPr="00A26025">
              <w:fldChar w:fldCharType="begin">
                <w:ffData>
                  <w:name w:val="Kontrollkästchen2"/>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Nein</w:t>
            </w:r>
          </w:p>
        </w:tc>
      </w:tr>
      <w:tr w:rsidR="008138E4" w14:paraId="32AF01D9" w14:textId="77777777" w:rsidTr="00E804E1">
        <w:tc>
          <w:tcPr>
            <w:tcW w:w="2972" w:type="dxa"/>
          </w:tcPr>
          <w:p w14:paraId="5EB18E88" w14:textId="77777777" w:rsidR="008138E4" w:rsidRDefault="008138E4" w:rsidP="00E804E1">
            <w:pPr>
              <w:pStyle w:val="KeinLeerraum"/>
            </w:pPr>
            <w:r>
              <w:t>Wichtige neue gesetzliche Rahmenbedingungen</w:t>
            </w:r>
          </w:p>
        </w:tc>
        <w:tc>
          <w:tcPr>
            <w:tcW w:w="4394" w:type="dxa"/>
          </w:tcPr>
          <w:p w14:paraId="5CB5E207" w14:textId="77777777" w:rsidR="008138E4" w:rsidRDefault="008138E4" w:rsidP="00E804E1">
            <w:pPr>
              <w:pStyle w:val="KeinLeerraum"/>
            </w:pPr>
            <w:r>
              <w:t xml:space="preserve">Was hier von Relevanz ist, hängt insbesondere von Ihrem Unternehmen, dessen </w:t>
            </w:r>
            <w:r>
              <w:lastRenderedPageBreak/>
              <w:t xml:space="preserve">Geschäftstätigkeit und zukünftiger Herausforderungen ab. So kann es sinnvoll sein, dass Sie sich mit </w:t>
            </w:r>
            <w:r w:rsidRPr="00FE3386">
              <w:t>Künstlicher</w:t>
            </w:r>
            <w:r>
              <w:t xml:space="preserve"> Intelligenz beschäftigen. Unter Umständen sind aber auch neue Regelungen zur IT- und Cybersicherheit von Bedeutung, etwa das die </w:t>
            </w:r>
            <w:r w:rsidRPr="00FE3386">
              <w:t>NIS-2-Richtlinie</w:t>
            </w:r>
            <w:r>
              <w:t xml:space="preserve"> umsetzende BSI-Gesetz. Das dürfte wohl 2026 in Kraft treten und verbindlich werden.</w:t>
            </w:r>
          </w:p>
        </w:tc>
        <w:tc>
          <w:tcPr>
            <w:tcW w:w="1696" w:type="dxa"/>
          </w:tcPr>
          <w:p w14:paraId="48AD1297" w14:textId="77777777" w:rsidR="008138E4" w:rsidRDefault="008138E4" w:rsidP="00E804E1">
            <w:pPr>
              <w:pStyle w:val="KeinLeerraum"/>
            </w:pPr>
            <w:r w:rsidRPr="00A26025">
              <w:lastRenderedPageBreak/>
              <w:fldChar w:fldCharType="begin">
                <w:ffData>
                  <w:name w:val="Kontrollkästchen1"/>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Ja </w:t>
            </w:r>
            <w:r w:rsidRPr="00A26025">
              <w:fldChar w:fldCharType="begin">
                <w:ffData>
                  <w:name w:val="Kontrollkästchen2"/>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Nein</w:t>
            </w:r>
          </w:p>
        </w:tc>
      </w:tr>
      <w:tr w:rsidR="008138E4" w14:paraId="0F7DA9F2" w14:textId="77777777" w:rsidTr="00E804E1">
        <w:trPr>
          <w:trHeight w:val="98"/>
        </w:trPr>
        <w:tc>
          <w:tcPr>
            <w:tcW w:w="2972" w:type="dxa"/>
          </w:tcPr>
          <w:p w14:paraId="7EE6B73F" w14:textId="77777777" w:rsidR="008138E4" w:rsidRDefault="008138E4" w:rsidP="00E804E1">
            <w:pPr>
              <w:pStyle w:val="KeinLeerraum"/>
            </w:pPr>
            <w:r>
              <w:t>Soft Skills</w:t>
            </w:r>
          </w:p>
        </w:tc>
        <w:tc>
          <w:tcPr>
            <w:tcW w:w="4394" w:type="dxa"/>
          </w:tcPr>
          <w:p w14:paraId="7410EEC9" w14:textId="77777777" w:rsidR="008138E4" w:rsidRDefault="008138E4" w:rsidP="00E804E1">
            <w:pPr>
              <w:pStyle w:val="KeinLeerraum"/>
            </w:pPr>
            <w:r>
              <w:t xml:space="preserve">Auch das zählt zu einem wichtigen Know-how-Bereich. Prüfen Sie selbstkritisch, in welchen Bereichen Sie besser werden sollten. Denn Rechtstexte verstehen reicht nicht aus. Sie müssen diese auch vermitteln und gut erklären können. Denn sonst verstehen </w:t>
            </w:r>
            <w:r w:rsidRPr="00FE3386">
              <w:t>diejenigen nur Bahnhof</w:t>
            </w:r>
            <w:r>
              <w:t>, die das Umsetzen übernehmen sollen.</w:t>
            </w:r>
          </w:p>
        </w:tc>
        <w:tc>
          <w:tcPr>
            <w:tcW w:w="1696" w:type="dxa"/>
          </w:tcPr>
          <w:p w14:paraId="48A57B72" w14:textId="77777777" w:rsidR="008138E4" w:rsidRDefault="008138E4" w:rsidP="00E804E1">
            <w:pPr>
              <w:pStyle w:val="KeinLeerraum"/>
            </w:pPr>
            <w:r w:rsidRPr="00A26025">
              <w:fldChar w:fldCharType="begin">
                <w:ffData>
                  <w:name w:val="Kontrollkästchen1"/>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Ja </w:t>
            </w:r>
            <w:r w:rsidRPr="00A26025">
              <w:fldChar w:fldCharType="begin">
                <w:ffData>
                  <w:name w:val="Kontrollkästchen2"/>
                  <w:enabled/>
                  <w:calcOnExit w:val="0"/>
                  <w:checkBox>
                    <w:sizeAuto/>
                    <w:default w:val="0"/>
                  </w:checkBox>
                </w:ffData>
              </w:fldChar>
            </w:r>
            <w:r w:rsidRPr="00A26025">
              <w:instrText xml:space="preserve"> FORMCHECKBOX </w:instrText>
            </w:r>
            <w:r>
              <w:fldChar w:fldCharType="separate"/>
            </w:r>
            <w:r w:rsidRPr="00A26025">
              <w:fldChar w:fldCharType="end"/>
            </w:r>
            <w:r w:rsidRPr="00A26025">
              <w:t xml:space="preserve"> Nein</w:t>
            </w:r>
          </w:p>
        </w:tc>
      </w:tr>
    </w:tbl>
    <w:p w14:paraId="62ED611C" w14:textId="77777777" w:rsidR="008138E4" w:rsidRPr="000D5213" w:rsidRDefault="008138E4" w:rsidP="008138E4">
      <w:pPr>
        <w:pStyle w:val="KeinLeerraum"/>
      </w:pPr>
    </w:p>
    <w:p w14:paraId="47B351DA" w14:textId="77777777" w:rsidR="008138E4" w:rsidRDefault="008138E4" w:rsidP="008138E4">
      <w:pPr>
        <w:pStyle w:val="KeinLeerraum"/>
      </w:pPr>
    </w:p>
    <w:p w14:paraId="4557FA80" w14:textId="77777777" w:rsidR="008138E4" w:rsidRPr="000D5213" w:rsidRDefault="008138E4" w:rsidP="008138E4">
      <w:pPr>
        <w:pStyle w:val="KeinLeerraum"/>
      </w:pPr>
    </w:p>
    <w:p w14:paraId="7AA8077B" w14:textId="77777777" w:rsidR="00300DC4" w:rsidRPr="008138E4" w:rsidRDefault="00300DC4" w:rsidP="008138E4"/>
    <w:sectPr w:rsidR="00300DC4" w:rsidRPr="008138E4">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739B0" w14:textId="77777777" w:rsidR="00E64542" w:rsidRDefault="00E64542" w:rsidP="00CC2216">
      <w:r>
        <w:separator/>
      </w:r>
    </w:p>
  </w:endnote>
  <w:endnote w:type="continuationSeparator" w:id="0">
    <w:p w14:paraId="4ACF9446" w14:textId="77777777" w:rsidR="00E64542" w:rsidRDefault="00E64542"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4033D" w14:textId="77777777" w:rsidR="00E64542" w:rsidRDefault="00E64542" w:rsidP="00CC2216">
      <w:r>
        <w:separator/>
      </w:r>
    </w:p>
  </w:footnote>
  <w:footnote w:type="continuationSeparator" w:id="0">
    <w:p w14:paraId="3A766539" w14:textId="77777777" w:rsidR="00E64542" w:rsidRDefault="00E64542"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492DC1"/>
    <w:multiLevelType w:val="hybridMultilevel"/>
    <w:tmpl w:val="E2A8D5C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08112786"/>
    <w:multiLevelType w:val="hybridMultilevel"/>
    <w:tmpl w:val="DD4C6A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B5F7C85"/>
    <w:multiLevelType w:val="hybridMultilevel"/>
    <w:tmpl w:val="BC28F1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2626FD7"/>
    <w:multiLevelType w:val="hybridMultilevel"/>
    <w:tmpl w:val="D870EC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4B80E60"/>
    <w:multiLevelType w:val="hybridMultilevel"/>
    <w:tmpl w:val="681675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5510AD0"/>
    <w:multiLevelType w:val="hybridMultilevel"/>
    <w:tmpl w:val="F544ECE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1793168C"/>
    <w:multiLevelType w:val="hybridMultilevel"/>
    <w:tmpl w:val="43FA38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5F2178"/>
    <w:multiLevelType w:val="hybridMultilevel"/>
    <w:tmpl w:val="6D68B7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E2D6761"/>
    <w:multiLevelType w:val="hybridMultilevel"/>
    <w:tmpl w:val="8FE4A0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70F2CCE"/>
    <w:multiLevelType w:val="hybridMultilevel"/>
    <w:tmpl w:val="2786BD0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1" w15:restartNumberingAfterBreak="0">
    <w:nsid w:val="348F08EA"/>
    <w:multiLevelType w:val="multilevel"/>
    <w:tmpl w:val="5884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B07D8"/>
    <w:multiLevelType w:val="hybridMultilevel"/>
    <w:tmpl w:val="4538C8D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3" w15:restartNumberingAfterBreak="0">
    <w:nsid w:val="3C640426"/>
    <w:multiLevelType w:val="hybridMultilevel"/>
    <w:tmpl w:val="A058C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F5E2E88"/>
    <w:multiLevelType w:val="hybridMultilevel"/>
    <w:tmpl w:val="8B48B43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5" w15:restartNumberingAfterBreak="0">
    <w:nsid w:val="42B31663"/>
    <w:multiLevelType w:val="hybridMultilevel"/>
    <w:tmpl w:val="01BA7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ADC2BDE"/>
    <w:multiLevelType w:val="hybridMultilevel"/>
    <w:tmpl w:val="49BE92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E7938B4"/>
    <w:multiLevelType w:val="hybridMultilevel"/>
    <w:tmpl w:val="15C4674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8" w15:restartNumberingAfterBreak="0">
    <w:nsid w:val="525F5EDD"/>
    <w:multiLevelType w:val="hybridMultilevel"/>
    <w:tmpl w:val="22FECB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450514E"/>
    <w:multiLevelType w:val="hybridMultilevel"/>
    <w:tmpl w:val="AB3206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548B301F"/>
    <w:multiLevelType w:val="hybridMultilevel"/>
    <w:tmpl w:val="BE94BF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0933DA2"/>
    <w:multiLevelType w:val="hybridMultilevel"/>
    <w:tmpl w:val="690200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65610563"/>
    <w:multiLevelType w:val="multilevel"/>
    <w:tmpl w:val="9F7A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9C66C5"/>
    <w:multiLevelType w:val="hybridMultilevel"/>
    <w:tmpl w:val="DB26FC6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4" w15:restartNumberingAfterBreak="0">
    <w:nsid w:val="691B736F"/>
    <w:multiLevelType w:val="hybridMultilevel"/>
    <w:tmpl w:val="7B76050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5" w15:restartNumberingAfterBreak="0">
    <w:nsid w:val="694F58E6"/>
    <w:multiLevelType w:val="hybridMultilevel"/>
    <w:tmpl w:val="90C65E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FD46829"/>
    <w:multiLevelType w:val="hybridMultilevel"/>
    <w:tmpl w:val="6A9A29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2811EC1"/>
    <w:multiLevelType w:val="hybridMultilevel"/>
    <w:tmpl w:val="F8625B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72BD0072"/>
    <w:multiLevelType w:val="hybridMultilevel"/>
    <w:tmpl w:val="77E06F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72E920A7"/>
    <w:multiLevelType w:val="hybridMultilevel"/>
    <w:tmpl w:val="BC42AD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76DE695D"/>
    <w:multiLevelType w:val="hybridMultilevel"/>
    <w:tmpl w:val="A4F6246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1" w15:restartNumberingAfterBreak="0">
    <w:nsid w:val="77583695"/>
    <w:multiLevelType w:val="hybridMultilevel"/>
    <w:tmpl w:val="5F12D49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2" w15:restartNumberingAfterBreak="0">
    <w:nsid w:val="781B6FC8"/>
    <w:multiLevelType w:val="hybridMultilevel"/>
    <w:tmpl w:val="24622CC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3" w15:restartNumberingAfterBreak="0">
    <w:nsid w:val="79D1067E"/>
    <w:multiLevelType w:val="multilevel"/>
    <w:tmpl w:val="A5C8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5"/>
  </w:num>
  <w:num w:numId="3">
    <w:abstractNumId w:val="15"/>
  </w:num>
  <w:num w:numId="4">
    <w:abstractNumId w:val="7"/>
  </w:num>
  <w:num w:numId="5">
    <w:abstractNumId w:val="26"/>
  </w:num>
  <w:num w:numId="6">
    <w:abstractNumId w:val="9"/>
  </w:num>
  <w:num w:numId="7">
    <w:abstractNumId w:val="0"/>
  </w:num>
  <w:num w:numId="8">
    <w:abstractNumId w:val="11"/>
  </w:num>
  <w:num w:numId="9">
    <w:abstractNumId w:val="22"/>
  </w:num>
  <w:num w:numId="10">
    <w:abstractNumId w:val="33"/>
  </w:num>
  <w:num w:numId="11">
    <w:abstractNumId w:val="23"/>
  </w:num>
  <w:num w:numId="12">
    <w:abstractNumId w:val="14"/>
  </w:num>
  <w:num w:numId="13">
    <w:abstractNumId w:val="17"/>
  </w:num>
  <w:num w:numId="14">
    <w:abstractNumId w:val="30"/>
  </w:num>
  <w:num w:numId="15">
    <w:abstractNumId w:val="31"/>
  </w:num>
  <w:num w:numId="16">
    <w:abstractNumId w:val="12"/>
  </w:num>
  <w:num w:numId="17">
    <w:abstractNumId w:val="10"/>
  </w:num>
  <w:num w:numId="18">
    <w:abstractNumId w:val="1"/>
  </w:num>
  <w:num w:numId="19">
    <w:abstractNumId w:val="6"/>
  </w:num>
  <w:num w:numId="20">
    <w:abstractNumId w:val="24"/>
  </w:num>
  <w:num w:numId="21">
    <w:abstractNumId w:val="32"/>
  </w:num>
  <w:num w:numId="22">
    <w:abstractNumId w:val="19"/>
  </w:num>
  <w:num w:numId="23">
    <w:abstractNumId w:val="5"/>
  </w:num>
  <w:num w:numId="24">
    <w:abstractNumId w:val="28"/>
  </w:num>
  <w:num w:numId="25">
    <w:abstractNumId w:val="20"/>
  </w:num>
  <w:num w:numId="26">
    <w:abstractNumId w:val="27"/>
  </w:num>
  <w:num w:numId="27">
    <w:abstractNumId w:val="8"/>
  </w:num>
  <w:num w:numId="28">
    <w:abstractNumId w:val="16"/>
  </w:num>
  <w:num w:numId="29">
    <w:abstractNumId w:val="3"/>
  </w:num>
  <w:num w:numId="30">
    <w:abstractNumId w:val="4"/>
  </w:num>
  <w:num w:numId="31">
    <w:abstractNumId w:val="29"/>
  </w:num>
  <w:num w:numId="32">
    <w:abstractNumId w:val="2"/>
  </w:num>
  <w:num w:numId="33">
    <w:abstractNumId w:val="18"/>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76B37"/>
    <w:rsid w:val="000C4C1F"/>
    <w:rsid w:val="001406B6"/>
    <w:rsid w:val="00152C55"/>
    <w:rsid w:val="001B14AD"/>
    <w:rsid w:val="001D11CB"/>
    <w:rsid w:val="002212CF"/>
    <w:rsid w:val="00291DAF"/>
    <w:rsid w:val="002D75F0"/>
    <w:rsid w:val="00300DC4"/>
    <w:rsid w:val="00351F26"/>
    <w:rsid w:val="003E47CA"/>
    <w:rsid w:val="003E52CE"/>
    <w:rsid w:val="00432E27"/>
    <w:rsid w:val="0044072D"/>
    <w:rsid w:val="00456C69"/>
    <w:rsid w:val="004818B5"/>
    <w:rsid w:val="004C79F3"/>
    <w:rsid w:val="005105F0"/>
    <w:rsid w:val="005717AA"/>
    <w:rsid w:val="005A6A71"/>
    <w:rsid w:val="005C5465"/>
    <w:rsid w:val="00696A56"/>
    <w:rsid w:val="0072310B"/>
    <w:rsid w:val="008138E4"/>
    <w:rsid w:val="00996806"/>
    <w:rsid w:val="00AB25D6"/>
    <w:rsid w:val="00AC39D5"/>
    <w:rsid w:val="00B367BE"/>
    <w:rsid w:val="00BB0D08"/>
    <w:rsid w:val="00BE0F4E"/>
    <w:rsid w:val="00CB13B2"/>
    <w:rsid w:val="00CC2216"/>
    <w:rsid w:val="00DC69D7"/>
    <w:rsid w:val="00E64542"/>
    <w:rsid w:val="00E936E5"/>
    <w:rsid w:val="00ED1004"/>
    <w:rsid w:val="00ED7B89"/>
    <w:rsid w:val="00FB5724"/>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5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7"/>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F9F6E8-AB62-4400-BDA8-23707CAE1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8000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2025-11-03T11:50:00Z</dcterms:created>
  <dcterms:modified xsi:type="dcterms:W3CDTF">2025-11-03T11:50:00Z</dcterms:modified>
</cp:coreProperties>
</file>