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396BF" w14:textId="77777777" w:rsidR="00612856" w:rsidRPr="00B94D9E" w:rsidRDefault="00612856" w:rsidP="00612856">
      <w:pPr>
        <w:pStyle w:val="KeinLeerraum"/>
        <w:rPr>
          <w:b/>
          <w:bCs/>
        </w:rPr>
      </w:pPr>
      <w:bookmarkStart w:id="0" w:name="_GoBack"/>
      <w:r w:rsidRPr="00B94D9E">
        <w:rPr>
          <w:b/>
          <w:bCs/>
        </w:rPr>
        <w:t>Muster: Jahresplanung 2026</w:t>
      </w:r>
    </w:p>
    <w:bookmarkEnd w:id="0"/>
    <w:p w14:paraId="0F0AFC40" w14:textId="77777777" w:rsidR="00612856" w:rsidRPr="000D5213" w:rsidRDefault="00612856" w:rsidP="00612856">
      <w:pPr>
        <w:pStyle w:val="KeinLeerraum"/>
      </w:pPr>
    </w:p>
    <w:tbl>
      <w:tblPr>
        <w:tblStyle w:val="Tabellenraster"/>
        <w:tblW w:w="0" w:type="auto"/>
        <w:tblLook w:val="04A0" w:firstRow="1" w:lastRow="0" w:firstColumn="1" w:lastColumn="0" w:noHBand="0" w:noVBand="1"/>
      </w:tblPr>
      <w:tblGrid>
        <w:gridCol w:w="1413"/>
        <w:gridCol w:w="2268"/>
        <w:gridCol w:w="5381"/>
      </w:tblGrid>
      <w:tr w:rsidR="00612856" w14:paraId="0218D8C7" w14:textId="77777777" w:rsidTr="00E804E1">
        <w:tc>
          <w:tcPr>
            <w:tcW w:w="1413" w:type="dxa"/>
            <w:shd w:val="clear" w:color="auto" w:fill="D9E2F3" w:themeFill="accent1" w:themeFillTint="33"/>
          </w:tcPr>
          <w:p w14:paraId="337BD514" w14:textId="77777777" w:rsidR="00612856" w:rsidRPr="00497669" w:rsidRDefault="00612856" w:rsidP="00E804E1">
            <w:pPr>
              <w:pStyle w:val="KeinLeerraum"/>
              <w:rPr>
                <w:b/>
                <w:bCs/>
              </w:rPr>
            </w:pPr>
            <w:r w:rsidRPr="00497669">
              <w:rPr>
                <w:b/>
                <w:bCs/>
              </w:rPr>
              <w:t>Monat</w:t>
            </w:r>
          </w:p>
        </w:tc>
        <w:tc>
          <w:tcPr>
            <w:tcW w:w="2268" w:type="dxa"/>
            <w:shd w:val="clear" w:color="auto" w:fill="D9E2F3" w:themeFill="accent1" w:themeFillTint="33"/>
          </w:tcPr>
          <w:p w14:paraId="30AA3217" w14:textId="77777777" w:rsidR="00612856" w:rsidRPr="00497669" w:rsidRDefault="00612856" w:rsidP="00E804E1">
            <w:pPr>
              <w:pStyle w:val="KeinLeerraum"/>
              <w:rPr>
                <w:b/>
                <w:bCs/>
              </w:rPr>
            </w:pPr>
            <w:r w:rsidRPr="00497669">
              <w:rPr>
                <w:b/>
                <w:bCs/>
              </w:rPr>
              <w:t>Fokus</w:t>
            </w:r>
          </w:p>
        </w:tc>
        <w:tc>
          <w:tcPr>
            <w:tcW w:w="5381" w:type="dxa"/>
            <w:shd w:val="clear" w:color="auto" w:fill="D9E2F3" w:themeFill="accent1" w:themeFillTint="33"/>
          </w:tcPr>
          <w:p w14:paraId="0C505D52" w14:textId="77777777" w:rsidR="00612856" w:rsidRPr="00497669" w:rsidRDefault="00612856" w:rsidP="00E804E1">
            <w:pPr>
              <w:pStyle w:val="KeinLeerraum"/>
              <w:rPr>
                <w:b/>
                <w:bCs/>
              </w:rPr>
            </w:pPr>
            <w:r w:rsidRPr="00497669">
              <w:rPr>
                <w:b/>
                <w:bCs/>
              </w:rPr>
              <w:t xml:space="preserve">Typische </w:t>
            </w:r>
            <w:proofErr w:type="spellStart"/>
            <w:r w:rsidRPr="00497669">
              <w:rPr>
                <w:b/>
                <w:bCs/>
              </w:rPr>
              <w:t>To</w:t>
            </w:r>
            <w:proofErr w:type="spellEnd"/>
            <w:r w:rsidRPr="00497669">
              <w:rPr>
                <w:b/>
                <w:bCs/>
              </w:rPr>
              <w:t>-dos</w:t>
            </w:r>
          </w:p>
        </w:tc>
      </w:tr>
      <w:tr w:rsidR="00612856" w14:paraId="33CBB462" w14:textId="77777777" w:rsidTr="00E804E1">
        <w:tc>
          <w:tcPr>
            <w:tcW w:w="1413" w:type="dxa"/>
          </w:tcPr>
          <w:p w14:paraId="0E40F06F" w14:textId="77777777" w:rsidR="00612856" w:rsidRDefault="00612856" w:rsidP="00E804E1">
            <w:pPr>
              <w:pStyle w:val="KeinLeerraum"/>
            </w:pPr>
            <w:r>
              <w:t>Januar</w:t>
            </w:r>
          </w:p>
        </w:tc>
        <w:tc>
          <w:tcPr>
            <w:tcW w:w="2268" w:type="dxa"/>
          </w:tcPr>
          <w:p w14:paraId="6C549742" w14:textId="77777777" w:rsidR="00612856" w:rsidRDefault="00612856" w:rsidP="00E804E1">
            <w:pPr>
              <w:pStyle w:val="KeinLeerraum"/>
            </w:pPr>
            <w:r>
              <w:t>Bestandsaufnahme und Jahresplanung</w:t>
            </w:r>
          </w:p>
        </w:tc>
        <w:tc>
          <w:tcPr>
            <w:tcW w:w="5381" w:type="dxa"/>
          </w:tcPr>
          <w:p w14:paraId="043BB405" w14:textId="77777777" w:rsidR="00612856" w:rsidRDefault="00612856" w:rsidP="00612856">
            <w:pPr>
              <w:pStyle w:val="KeinLeerraum"/>
              <w:numPr>
                <w:ilvl w:val="0"/>
                <w:numId w:val="35"/>
              </w:numPr>
            </w:pPr>
            <w:r>
              <w:t xml:space="preserve">Ermitteln Sie den </w:t>
            </w:r>
            <w:r w:rsidRPr="0037413A">
              <w:t>Status Quo</w:t>
            </w:r>
            <w:r>
              <w:t xml:space="preserve"> und bewerten Sie bestehende bzw. absehbare Risiken mit Bezug zu personenbezogenen Daten.</w:t>
            </w:r>
          </w:p>
          <w:p w14:paraId="0175CCCE" w14:textId="77777777" w:rsidR="00612856" w:rsidRDefault="00612856" w:rsidP="00612856">
            <w:pPr>
              <w:pStyle w:val="KeinLeerraum"/>
              <w:numPr>
                <w:ilvl w:val="0"/>
                <w:numId w:val="35"/>
              </w:numPr>
            </w:pPr>
            <w:r>
              <w:t xml:space="preserve">Bewerten Sie nicht Erledigtes aus 2025 und bringen Sie Relevantes je nach Wichtigkeit und Dringlichkeit in 2026 </w:t>
            </w:r>
            <w:r w:rsidRPr="0037413A">
              <w:t>unter</w:t>
            </w:r>
          </w:p>
          <w:p w14:paraId="1F3EBC07" w14:textId="77777777" w:rsidR="00612856" w:rsidRDefault="00612856" w:rsidP="00612856">
            <w:pPr>
              <w:pStyle w:val="KeinLeerraum"/>
              <w:numPr>
                <w:ilvl w:val="0"/>
                <w:numId w:val="35"/>
              </w:numPr>
            </w:pPr>
            <w:r>
              <w:t>Legen Sie Schwerpunkte Ihrer Tätigkeit für 2026 fest. Stimmen Sie Ihre Planung mit der Unternehmensleitung ab.</w:t>
            </w:r>
          </w:p>
          <w:p w14:paraId="44C00D12" w14:textId="77777777" w:rsidR="00612856" w:rsidRDefault="00612856" w:rsidP="00612856">
            <w:pPr>
              <w:pStyle w:val="KeinLeerraum"/>
              <w:numPr>
                <w:ilvl w:val="0"/>
                <w:numId w:val="35"/>
              </w:numPr>
            </w:pPr>
            <w:r>
              <w:t xml:space="preserve">Planen Sie </w:t>
            </w:r>
            <w:proofErr w:type="spellStart"/>
            <w:r>
              <w:t>Awarenessaktionen</w:t>
            </w:r>
            <w:proofErr w:type="spellEnd"/>
            <w:r>
              <w:t xml:space="preserve"> und Aktivitäten zur Know-how-Vermittlung für das Jahr und bereiten Sie diese vor.</w:t>
            </w:r>
          </w:p>
          <w:p w14:paraId="16C2372F" w14:textId="77777777" w:rsidR="00612856" w:rsidRDefault="00612856" w:rsidP="00612856">
            <w:pPr>
              <w:pStyle w:val="KeinLeerraum"/>
              <w:numPr>
                <w:ilvl w:val="0"/>
                <w:numId w:val="35"/>
              </w:numPr>
            </w:pPr>
            <w:r>
              <w:t xml:space="preserve">Prüfen Sie, inwieweit es wichtige Aktivitäten gibt, bei denen Sie mitmachen sollten. Denken Sie hier an größere spezifische interne Veranstaltungen, etwa ein Treffen aller Vertriebsmitarbeiter oder des oberen Managements. </w:t>
            </w:r>
          </w:p>
        </w:tc>
      </w:tr>
      <w:tr w:rsidR="00612856" w14:paraId="182F4D48" w14:textId="77777777" w:rsidTr="00E804E1">
        <w:tc>
          <w:tcPr>
            <w:tcW w:w="1413" w:type="dxa"/>
          </w:tcPr>
          <w:p w14:paraId="28D3D0D2" w14:textId="77777777" w:rsidR="00612856" w:rsidRDefault="00612856" w:rsidP="00E804E1">
            <w:pPr>
              <w:pStyle w:val="KeinLeerraum"/>
            </w:pPr>
            <w:r>
              <w:t>Februar</w:t>
            </w:r>
          </w:p>
        </w:tc>
        <w:tc>
          <w:tcPr>
            <w:tcW w:w="2268" w:type="dxa"/>
          </w:tcPr>
          <w:p w14:paraId="60FECB20" w14:textId="77777777" w:rsidR="00612856" w:rsidRDefault="00612856" w:rsidP="00E804E1">
            <w:pPr>
              <w:pStyle w:val="KeinLeerraum"/>
            </w:pPr>
            <w:proofErr w:type="spellStart"/>
            <w:r>
              <w:t>Awarenesskampagnen</w:t>
            </w:r>
            <w:proofErr w:type="spellEnd"/>
          </w:p>
        </w:tc>
        <w:tc>
          <w:tcPr>
            <w:tcW w:w="5381" w:type="dxa"/>
          </w:tcPr>
          <w:p w14:paraId="29C3655D" w14:textId="77777777" w:rsidR="00612856" w:rsidRDefault="00612856" w:rsidP="00612856">
            <w:pPr>
              <w:pStyle w:val="KeinLeerraum"/>
              <w:numPr>
                <w:ilvl w:val="0"/>
                <w:numId w:val="36"/>
              </w:numPr>
            </w:pPr>
            <w:r>
              <w:t xml:space="preserve">Starten Sie früh im Jahr mit ersten </w:t>
            </w:r>
            <w:proofErr w:type="spellStart"/>
            <w:r>
              <w:t>Awarenessaktionen</w:t>
            </w:r>
            <w:proofErr w:type="spellEnd"/>
            <w:r>
              <w:t xml:space="preserve"> oder Schulungen. So können Sie später bei Kontrollen und Audits auch prüfen, ob das Vermittelte etwas gebracht hat.</w:t>
            </w:r>
          </w:p>
          <w:p w14:paraId="4814795A" w14:textId="77777777" w:rsidR="00612856" w:rsidRDefault="00612856" w:rsidP="00612856">
            <w:pPr>
              <w:pStyle w:val="KeinLeerraum"/>
              <w:numPr>
                <w:ilvl w:val="0"/>
                <w:numId w:val="36"/>
              </w:numPr>
            </w:pPr>
            <w:r>
              <w:t>Sorgen Sie für einen guten Mix aus verschiedenen Angeboten. Es müssen nicht nur Schulungen sein. Denken Sie auch an Artikel im Intranet, Interviews, Videos, Checklisten oder Sprechstunden.</w:t>
            </w:r>
          </w:p>
          <w:p w14:paraId="54803FFF" w14:textId="77777777" w:rsidR="00612856" w:rsidRDefault="00612856" w:rsidP="00612856">
            <w:pPr>
              <w:pStyle w:val="KeinLeerraum"/>
              <w:numPr>
                <w:ilvl w:val="0"/>
                <w:numId w:val="36"/>
              </w:numPr>
            </w:pPr>
            <w:r>
              <w:t>Machen Sie auch passende Ereignisse als Aufhänger aus, etwa den „World Backup Day“ am 31.3.2026.</w:t>
            </w:r>
          </w:p>
          <w:p w14:paraId="5723EC5B" w14:textId="77777777" w:rsidR="00612856" w:rsidRDefault="00612856" w:rsidP="00612856">
            <w:pPr>
              <w:pStyle w:val="KeinLeerraum"/>
              <w:numPr>
                <w:ilvl w:val="0"/>
                <w:numId w:val="36"/>
              </w:numPr>
            </w:pPr>
            <w:r>
              <w:t>Bereiten Sie unbedingt Feedbackmöglichkeiten zu Ihren Angeboten vor. Mit den Rückmeldungen können Sie Ihr Angebot inhaltlich optimieren. Zudem können Sie Ihre Ressourcen zielgenauer und gewinnbringender einsetzen.</w:t>
            </w:r>
          </w:p>
        </w:tc>
      </w:tr>
      <w:tr w:rsidR="00612856" w14:paraId="6DD7A07C" w14:textId="77777777" w:rsidTr="00E804E1">
        <w:tc>
          <w:tcPr>
            <w:tcW w:w="1413" w:type="dxa"/>
          </w:tcPr>
          <w:p w14:paraId="69B47E0C" w14:textId="77777777" w:rsidR="00612856" w:rsidRDefault="00612856" w:rsidP="00E804E1">
            <w:pPr>
              <w:pStyle w:val="KeinLeerraum"/>
            </w:pPr>
            <w:r>
              <w:t>März</w:t>
            </w:r>
          </w:p>
        </w:tc>
        <w:tc>
          <w:tcPr>
            <w:tcW w:w="2268" w:type="dxa"/>
          </w:tcPr>
          <w:p w14:paraId="4C5489B8" w14:textId="77777777" w:rsidR="00612856" w:rsidRDefault="00612856" w:rsidP="00E804E1">
            <w:pPr>
              <w:pStyle w:val="KeinLeerraum"/>
            </w:pPr>
            <w:r>
              <w:t>Frühjahrschecks</w:t>
            </w:r>
          </w:p>
        </w:tc>
        <w:tc>
          <w:tcPr>
            <w:tcW w:w="5381" w:type="dxa"/>
          </w:tcPr>
          <w:p w14:paraId="62343F3E" w14:textId="77777777" w:rsidR="00612856" w:rsidRDefault="00612856" w:rsidP="00612856">
            <w:pPr>
              <w:pStyle w:val="KeinLeerraum"/>
              <w:numPr>
                <w:ilvl w:val="0"/>
                <w:numId w:val="37"/>
              </w:numPr>
            </w:pPr>
            <w:r>
              <w:t>Prüfen Sie beispielsweise, wie es um das Löschen von personenbezogenen Daten bestellt ist.</w:t>
            </w:r>
          </w:p>
          <w:p w14:paraId="096B20D7" w14:textId="77777777" w:rsidR="00612856" w:rsidRDefault="00612856" w:rsidP="00612856">
            <w:pPr>
              <w:pStyle w:val="KeinLeerraum"/>
              <w:numPr>
                <w:ilvl w:val="0"/>
                <w:numId w:val="37"/>
              </w:numPr>
            </w:pPr>
            <w:r>
              <w:t>Checks müssen nicht unbedingt von Ihnen durchgeführt werden. Sie haben auch die Möglichkeit, etwa Abteilungsleitern Checklisten für einen Selbstcheck oder eine Selbsteinschätzung zur Verfügung zu stellen. Sie beraten und unterstützen dann, wenn es aufgrund des Ergebnisses erforderlich ist.</w:t>
            </w:r>
          </w:p>
        </w:tc>
      </w:tr>
      <w:tr w:rsidR="00612856" w14:paraId="71F007B8" w14:textId="77777777" w:rsidTr="00E804E1">
        <w:tc>
          <w:tcPr>
            <w:tcW w:w="1413" w:type="dxa"/>
          </w:tcPr>
          <w:p w14:paraId="0434A0B9" w14:textId="77777777" w:rsidR="00612856" w:rsidRDefault="00612856" w:rsidP="00E804E1">
            <w:pPr>
              <w:pStyle w:val="KeinLeerraum"/>
            </w:pPr>
            <w:r>
              <w:t>April</w:t>
            </w:r>
          </w:p>
        </w:tc>
        <w:tc>
          <w:tcPr>
            <w:tcW w:w="2268" w:type="dxa"/>
          </w:tcPr>
          <w:p w14:paraId="72068D6E" w14:textId="77777777" w:rsidR="00612856" w:rsidRDefault="00612856" w:rsidP="00E804E1">
            <w:pPr>
              <w:pStyle w:val="KeinLeerraum"/>
            </w:pPr>
            <w:r>
              <w:t>Vor Ort Besuche</w:t>
            </w:r>
          </w:p>
        </w:tc>
        <w:tc>
          <w:tcPr>
            <w:tcW w:w="5381" w:type="dxa"/>
          </w:tcPr>
          <w:p w14:paraId="006CA5F5" w14:textId="77777777" w:rsidR="00612856" w:rsidRDefault="00612856" w:rsidP="00612856">
            <w:pPr>
              <w:pStyle w:val="KeinLeerraum"/>
              <w:numPr>
                <w:ilvl w:val="0"/>
                <w:numId w:val="38"/>
              </w:numPr>
            </w:pPr>
            <w:r>
              <w:t>Zeigen Sie Präsenz. Man muss Sie im Unternehmen kennen. Auch Sie müssen mit dem Unternehmen, mit dem Business und den Menschen vertraut sein.</w:t>
            </w:r>
          </w:p>
          <w:p w14:paraId="6327582E" w14:textId="77777777" w:rsidR="00612856" w:rsidRDefault="00612856" w:rsidP="00612856">
            <w:pPr>
              <w:pStyle w:val="KeinLeerraum"/>
              <w:numPr>
                <w:ilvl w:val="0"/>
                <w:numId w:val="38"/>
              </w:numPr>
            </w:pPr>
            <w:r>
              <w:t>Bieten Sie Vor-Ort-Besuche an, etwa in Abteilungsbesprechungen. Hier haben Sie zugleich die Möglichkeit, wichtige Themen anzusprechen.</w:t>
            </w:r>
          </w:p>
          <w:p w14:paraId="776ED50B" w14:textId="77777777" w:rsidR="00612856" w:rsidRDefault="00612856" w:rsidP="00612856">
            <w:pPr>
              <w:pStyle w:val="KeinLeerraum"/>
              <w:numPr>
                <w:ilvl w:val="0"/>
                <w:numId w:val="38"/>
              </w:numPr>
            </w:pPr>
            <w:r>
              <w:t>Vergessen Sie nicht, auch Managern und Führungskräften einen Besuch abzustatten. Der Austausch ist für Ihre Arbeit wichtig.</w:t>
            </w:r>
          </w:p>
        </w:tc>
      </w:tr>
      <w:tr w:rsidR="00612856" w:rsidRPr="00497669" w14:paraId="289ACA7E" w14:textId="77777777" w:rsidTr="00E804E1">
        <w:tc>
          <w:tcPr>
            <w:tcW w:w="1413" w:type="dxa"/>
          </w:tcPr>
          <w:p w14:paraId="20652072" w14:textId="77777777" w:rsidR="00612856" w:rsidRDefault="00612856" w:rsidP="00E804E1">
            <w:pPr>
              <w:pStyle w:val="KeinLeerraum"/>
            </w:pPr>
            <w:r>
              <w:t>Mai</w:t>
            </w:r>
          </w:p>
        </w:tc>
        <w:tc>
          <w:tcPr>
            <w:tcW w:w="2268" w:type="dxa"/>
          </w:tcPr>
          <w:p w14:paraId="629A7FF7" w14:textId="77777777" w:rsidR="00612856" w:rsidRPr="00497669" w:rsidRDefault="00612856" w:rsidP="00E804E1">
            <w:pPr>
              <w:pStyle w:val="KeinLeerraum"/>
            </w:pPr>
            <w:r w:rsidRPr="00497669">
              <w:t>Know-how-Transfer im Datenschutz</w:t>
            </w:r>
          </w:p>
        </w:tc>
        <w:tc>
          <w:tcPr>
            <w:tcW w:w="5381" w:type="dxa"/>
          </w:tcPr>
          <w:p w14:paraId="5C2C1CAB" w14:textId="77777777" w:rsidR="00612856" w:rsidRDefault="00612856" w:rsidP="00612856">
            <w:pPr>
              <w:pStyle w:val="KeinLeerraum"/>
              <w:numPr>
                <w:ilvl w:val="0"/>
                <w:numId w:val="39"/>
              </w:numPr>
            </w:pPr>
            <w:r>
              <w:t>Machen Sie aus, wie es um den Bedarf steht. Nichts frustriert mehr als ein Schulungsangebot, das niemanden interessiert, weil niemand das Vermittelte braucht.</w:t>
            </w:r>
          </w:p>
          <w:p w14:paraId="2354A237" w14:textId="77777777" w:rsidR="00612856" w:rsidRDefault="00612856" w:rsidP="00612856">
            <w:pPr>
              <w:pStyle w:val="KeinLeerraum"/>
              <w:numPr>
                <w:ilvl w:val="0"/>
                <w:numId w:val="39"/>
              </w:numPr>
            </w:pPr>
            <w:r>
              <w:t xml:space="preserve">Bieten Sie Schulungen für verschiedene Zielgruppen an. Diese können Sie auch über das Jahr verteilen. </w:t>
            </w:r>
            <w:r>
              <w:lastRenderedPageBreak/>
              <w:t xml:space="preserve">Binden Sie die Zielgruppe in die Zusammenstellung der Inhalte ein. </w:t>
            </w:r>
          </w:p>
          <w:p w14:paraId="00DFE682" w14:textId="77777777" w:rsidR="00612856" w:rsidRPr="00497669" w:rsidRDefault="00612856" w:rsidP="00612856">
            <w:pPr>
              <w:pStyle w:val="KeinLeerraum"/>
              <w:numPr>
                <w:ilvl w:val="0"/>
                <w:numId w:val="39"/>
              </w:numPr>
            </w:pPr>
            <w:r>
              <w:t>Legen Sie ggf. einen Schwerpunkt auf Datenschutzwissen für Führungskräfte. Wissen diese Bescheid, können sie leichter ihrer Verantwortung gerecht werden und außerdem besser ein Auge auf das haben, was ihre Mitarbeiter im Umgang mit personenbezogenen Daten machen.</w:t>
            </w:r>
          </w:p>
        </w:tc>
      </w:tr>
      <w:tr w:rsidR="00612856" w14:paraId="07C71D7D" w14:textId="77777777" w:rsidTr="00E804E1">
        <w:tc>
          <w:tcPr>
            <w:tcW w:w="1413" w:type="dxa"/>
          </w:tcPr>
          <w:p w14:paraId="5556FF44" w14:textId="77777777" w:rsidR="00612856" w:rsidRDefault="00612856" w:rsidP="00E804E1">
            <w:pPr>
              <w:pStyle w:val="KeinLeerraum"/>
            </w:pPr>
            <w:r>
              <w:lastRenderedPageBreak/>
              <w:t>Juni</w:t>
            </w:r>
          </w:p>
        </w:tc>
        <w:tc>
          <w:tcPr>
            <w:tcW w:w="2268" w:type="dxa"/>
          </w:tcPr>
          <w:p w14:paraId="058BC197" w14:textId="77777777" w:rsidR="00612856" w:rsidRDefault="00612856" w:rsidP="00E804E1">
            <w:pPr>
              <w:pStyle w:val="KeinLeerraum"/>
            </w:pPr>
            <w:r>
              <w:t>Auftragsverarbeitung und externe Kooperationen</w:t>
            </w:r>
          </w:p>
        </w:tc>
        <w:tc>
          <w:tcPr>
            <w:tcW w:w="5381" w:type="dxa"/>
          </w:tcPr>
          <w:p w14:paraId="5D8E6C9C" w14:textId="77777777" w:rsidR="00612856" w:rsidRDefault="00612856" w:rsidP="00612856">
            <w:pPr>
              <w:pStyle w:val="KeinLeerraum"/>
              <w:numPr>
                <w:ilvl w:val="0"/>
                <w:numId w:val="40"/>
              </w:numPr>
            </w:pPr>
            <w:r>
              <w:t>Verschaffen Sie sich einen Überblick über die Zusammenarbeit Ihres Unternehmens mit Dienstleistern und Dritten. Betrachten und bewerten Sie die Beziehungen unter Datenschutzaspekten.</w:t>
            </w:r>
          </w:p>
          <w:p w14:paraId="3BE983B3" w14:textId="77777777" w:rsidR="00612856" w:rsidRDefault="00612856" w:rsidP="00612856">
            <w:pPr>
              <w:pStyle w:val="KeinLeerraum"/>
              <w:numPr>
                <w:ilvl w:val="0"/>
                <w:numId w:val="40"/>
              </w:numPr>
            </w:pPr>
            <w:r>
              <w:t>Prüfen Sie, inwieweit nötige Vereinbarungen vorliegen und passend sind. Eventuell sind diese schon ziemlich angestaubt und bilden nicht mehr ansatzweise das ab, wie es in der Praxis läuft. Also besteht hier Nachbesserungsbedarf.</w:t>
            </w:r>
          </w:p>
          <w:p w14:paraId="086E3A81" w14:textId="77777777" w:rsidR="00612856" w:rsidRDefault="00612856" w:rsidP="00612856">
            <w:pPr>
              <w:pStyle w:val="KeinLeerraum"/>
              <w:numPr>
                <w:ilvl w:val="0"/>
                <w:numId w:val="40"/>
              </w:numPr>
            </w:pPr>
            <w:r>
              <w:t>Haben Sie ein Auge auf Drittstaatentransfers. Bewerten Sie, ob es hier (noch) Anpassungsbedarf gibt, etwa im Hinblick auf die Standardvertragsklauseln der EU.</w:t>
            </w:r>
          </w:p>
        </w:tc>
      </w:tr>
      <w:tr w:rsidR="00612856" w14:paraId="601965AE" w14:textId="77777777" w:rsidTr="00E804E1">
        <w:tc>
          <w:tcPr>
            <w:tcW w:w="1413" w:type="dxa"/>
          </w:tcPr>
          <w:p w14:paraId="7CC307D8" w14:textId="77777777" w:rsidR="00612856" w:rsidRDefault="00612856" w:rsidP="00E804E1">
            <w:pPr>
              <w:pStyle w:val="KeinLeerraum"/>
            </w:pPr>
            <w:r>
              <w:t>Juli</w:t>
            </w:r>
          </w:p>
        </w:tc>
        <w:tc>
          <w:tcPr>
            <w:tcW w:w="2268" w:type="dxa"/>
          </w:tcPr>
          <w:p w14:paraId="6110D597" w14:textId="77777777" w:rsidR="00612856" w:rsidRDefault="00612856" w:rsidP="00E804E1">
            <w:pPr>
              <w:pStyle w:val="KeinLeerraum"/>
            </w:pPr>
            <w:r>
              <w:t>Qualifikation und Weiterbildung</w:t>
            </w:r>
          </w:p>
        </w:tc>
        <w:tc>
          <w:tcPr>
            <w:tcW w:w="5381" w:type="dxa"/>
          </w:tcPr>
          <w:p w14:paraId="5DDEDFE4" w14:textId="77777777" w:rsidR="00612856" w:rsidRDefault="00612856" w:rsidP="00612856">
            <w:pPr>
              <w:pStyle w:val="KeinLeerraum"/>
              <w:numPr>
                <w:ilvl w:val="0"/>
                <w:numId w:val="41"/>
              </w:numPr>
            </w:pPr>
            <w:r>
              <w:t>Nehmen Sie sich Zeit, um Ihr Wissen aufzubauen. Haben Sie bereits Veranstaltungen besucht, machen Sie den Wissenscheck anhand der erhaltenen Unterlagen. So beugen Sie dem Vergessen vor.</w:t>
            </w:r>
          </w:p>
          <w:p w14:paraId="4A400618" w14:textId="77777777" w:rsidR="00612856" w:rsidRDefault="00612856" w:rsidP="00612856">
            <w:pPr>
              <w:pStyle w:val="KeinLeerraum"/>
              <w:numPr>
                <w:ilvl w:val="0"/>
                <w:numId w:val="41"/>
              </w:numPr>
            </w:pPr>
            <w:r>
              <w:t>Nehmen Sie sich zunächst diejenigen Themen vor, bei denen Sie die meisten Lücken oder Schwierigkeiten haben. Legen Sie auch einen Fokus auf Themen, die Sie besonders bei Ihrer Arbeit oder Beratung brauchen. Arbeiten Sie intensiv mit Fachliteratur und Veröffentlichungen von Aufsichtsbehörden.</w:t>
            </w:r>
          </w:p>
          <w:p w14:paraId="15369F83" w14:textId="77777777" w:rsidR="00612856" w:rsidRDefault="00612856" w:rsidP="00612856">
            <w:pPr>
              <w:pStyle w:val="KeinLeerraum"/>
              <w:numPr>
                <w:ilvl w:val="0"/>
                <w:numId w:val="41"/>
              </w:numPr>
            </w:pPr>
            <w:r>
              <w:t>Vergessen Sie nicht: Fachwissen ist nicht alles. Sie brauchen auch Soft Skills, sprich weiche Fähigkeiten, um Ihr Wissen umsetzen zu können. Hier kann auch ein Selbststudium mit YouTube und Co. viel bringen.</w:t>
            </w:r>
          </w:p>
          <w:p w14:paraId="6B92216E" w14:textId="77777777" w:rsidR="00612856" w:rsidRDefault="00612856" w:rsidP="00612856">
            <w:pPr>
              <w:pStyle w:val="KeinLeerraum"/>
              <w:numPr>
                <w:ilvl w:val="0"/>
                <w:numId w:val="41"/>
              </w:numPr>
            </w:pPr>
            <w:r>
              <w:t>Halten Sie für den Rest des Jahres Ausschau nach kostenlosen Angeboten von Aufsichtsbehörden. Manches findet auch virtuell statt.</w:t>
            </w:r>
          </w:p>
        </w:tc>
      </w:tr>
      <w:tr w:rsidR="00612856" w14:paraId="0D3CDC96" w14:textId="77777777" w:rsidTr="00E804E1">
        <w:tc>
          <w:tcPr>
            <w:tcW w:w="1413" w:type="dxa"/>
          </w:tcPr>
          <w:p w14:paraId="495EB3A1" w14:textId="77777777" w:rsidR="00612856" w:rsidRDefault="00612856" w:rsidP="00E804E1">
            <w:pPr>
              <w:pStyle w:val="KeinLeerraum"/>
            </w:pPr>
            <w:r>
              <w:t>August</w:t>
            </w:r>
          </w:p>
        </w:tc>
        <w:tc>
          <w:tcPr>
            <w:tcW w:w="2268" w:type="dxa"/>
          </w:tcPr>
          <w:p w14:paraId="511E0526" w14:textId="77777777" w:rsidR="00612856" w:rsidRDefault="00612856" w:rsidP="00E804E1">
            <w:pPr>
              <w:pStyle w:val="KeinLeerraum"/>
            </w:pPr>
            <w:r>
              <w:t>Mini-Checks und Prüfung von Basics</w:t>
            </w:r>
          </w:p>
        </w:tc>
        <w:tc>
          <w:tcPr>
            <w:tcW w:w="5381" w:type="dxa"/>
          </w:tcPr>
          <w:p w14:paraId="07B85E98" w14:textId="77777777" w:rsidR="00612856" w:rsidRDefault="00612856" w:rsidP="00612856">
            <w:pPr>
              <w:pStyle w:val="KeinLeerraum"/>
              <w:numPr>
                <w:ilvl w:val="0"/>
                <w:numId w:val="42"/>
              </w:numPr>
            </w:pPr>
            <w:r>
              <w:t>Falls Sie nicht in Urlaub sind, bieten sich einige kleinere Checks an, bei denen Sie keine große Unterstützung brauchen. So können Sie die Webseite kontrollieren. Auch können die den Datenschutz am Arbeitsplatz prüfen, etwa wenn Mitarbeiter abwesend oder in Urlaub sind.</w:t>
            </w:r>
          </w:p>
          <w:p w14:paraId="4711B440" w14:textId="77777777" w:rsidR="00612856" w:rsidRDefault="00612856" w:rsidP="00612856">
            <w:pPr>
              <w:pStyle w:val="KeinLeerraum"/>
              <w:numPr>
                <w:ilvl w:val="0"/>
                <w:numId w:val="42"/>
              </w:numPr>
            </w:pPr>
            <w:r>
              <w:t xml:space="preserve">Dokumentieren Sie Ihre Ergebnisse und leiten Sie daraus den nötigen Handlungsbedarf ab. Ggf. sollten Sie für die nächsten Monate zusätzliche </w:t>
            </w:r>
            <w:proofErr w:type="spellStart"/>
            <w:r>
              <w:t>Awarenessaktionen</w:t>
            </w:r>
            <w:proofErr w:type="spellEnd"/>
            <w:r>
              <w:t xml:space="preserve"> einplanen.</w:t>
            </w:r>
          </w:p>
        </w:tc>
      </w:tr>
      <w:tr w:rsidR="00612856" w14:paraId="2E04ABD5" w14:textId="77777777" w:rsidTr="00E804E1">
        <w:tc>
          <w:tcPr>
            <w:tcW w:w="1413" w:type="dxa"/>
          </w:tcPr>
          <w:p w14:paraId="72E71818" w14:textId="77777777" w:rsidR="00612856" w:rsidRDefault="00612856" w:rsidP="00E804E1">
            <w:pPr>
              <w:pStyle w:val="KeinLeerraum"/>
            </w:pPr>
            <w:r>
              <w:t>September</w:t>
            </w:r>
          </w:p>
        </w:tc>
        <w:tc>
          <w:tcPr>
            <w:tcW w:w="2268" w:type="dxa"/>
          </w:tcPr>
          <w:p w14:paraId="26943400" w14:textId="77777777" w:rsidR="00612856" w:rsidRDefault="00612856" w:rsidP="00E804E1">
            <w:pPr>
              <w:pStyle w:val="KeinLeerraum"/>
            </w:pPr>
            <w:r>
              <w:t>Management von Vorfällen</w:t>
            </w:r>
          </w:p>
        </w:tc>
        <w:tc>
          <w:tcPr>
            <w:tcW w:w="5381" w:type="dxa"/>
          </w:tcPr>
          <w:p w14:paraId="1E9BB167" w14:textId="77777777" w:rsidR="00612856" w:rsidRDefault="00612856" w:rsidP="00612856">
            <w:pPr>
              <w:pStyle w:val="KeinLeerraum"/>
              <w:numPr>
                <w:ilvl w:val="0"/>
                <w:numId w:val="43"/>
              </w:numPr>
            </w:pPr>
            <w:r>
              <w:t>Schauen Sie generell nach Festlegungen für Vor-, Not- oder Katastrophenfälle. Hier kann auch der Datenschutz eine Rolle spielen. Zudem können Sie sich die betreffenden Prozesse anschauen. Prüfen Sie diese auf Plausibilität und Praxistauglichkeit.</w:t>
            </w:r>
          </w:p>
          <w:p w14:paraId="55F1883F" w14:textId="77777777" w:rsidR="00612856" w:rsidRDefault="00612856" w:rsidP="00612856">
            <w:pPr>
              <w:pStyle w:val="KeinLeerraum"/>
              <w:numPr>
                <w:ilvl w:val="0"/>
                <w:numId w:val="43"/>
              </w:numPr>
            </w:pPr>
            <w:r>
              <w:t>Viele Vorfälle haben zumindest indirekt Datenschutzrelevanz. So kann auch eine verlorene unverschlüsselte Festplatte zum Datenschutzproblem werden. Prüfen Sie, wann und wie Sie bei solchen Vorfällen ins Spiel kommen.</w:t>
            </w:r>
          </w:p>
        </w:tc>
      </w:tr>
      <w:tr w:rsidR="00612856" w14:paraId="1AA1F7CF" w14:textId="77777777" w:rsidTr="00E804E1">
        <w:tc>
          <w:tcPr>
            <w:tcW w:w="1413" w:type="dxa"/>
          </w:tcPr>
          <w:p w14:paraId="0440E725" w14:textId="77777777" w:rsidR="00612856" w:rsidRDefault="00612856" w:rsidP="00E804E1">
            <w:pPr>
              <w:pStyle w:val="KeinLeerraum"/>
            </w:pPr>
            <w:r>
              <w:t>Oktober</w:t>
            </w:r>
          </w:p>
        </w:tc>
        <w:tc>
          <w:tcPr>
            <w:tcW w:w="2268" w:type="dxa"/>
          </w:tcPr>
          <w:p w14:paraId="48F024F9" w14:textId="77777777" w:rsidR="00612856" w:rsidRDefault="00612856" w:rsidP="00E804E1">
            <w:pPr>
              <w:pStyle w:val="KeinLeerraum"/>
            </w:pPr>
            <w:r>
              <w:t>Audits und Prüfungen</w:t>
            </w:r>
          </w:p>
        </w:tc>
        <w:tc>
          <w:tcPr>
            <w:tcW w:w="5381" w:type="dxa"/>
          </w:tcPr>
          <w:p w14:paraId="3FC73694" w14:textId="77777777" w:rsidR="00612856" w:rsidRDefault="00612856" w:rsidP="00612856">
            <w:pPr>
              <w:pStyle w:val="KeinLeerraum"/>
              <w:numPr>
                <w:ilvl w:val="0"/>
                <w:numId w:val="44"/>
              </w:numPr>
            </w:pPr>
            <w:r>
              <w:t xml:space="preserve">Suchen Sie sich Schwerpunkte heraus, etwa mit thematischem Fokus oder bezogen auf bestimmte </w:t>
            </w:r>
            <w:r>
              <w:lastRenderedPageBreak/>
              <w:t>Geschäftsprozesse. So können Sie in der Personalabteilung nach dem Rechten schauen. Alternativ können Sie auch den Internetauftritt oder den Webshop unter die Lupe nehmen.</w:t>
            </w:r>
          </w:p>
          <w:p w14:paraId="5885A89A" w14:textId="77777777" w:rsidR="00612856" w:rsidRDefault="00612856" w:rsidP="00612856">
            <w:pPr>
              <w:pStyle w:val="KeinLeerraum"/>
              <w:numPr>
                <w:ilvl w:val="0"/>
                <w:numId w:val="44"/>
              </w:numPr>
            </w:pPr>
            <w:r>
              <w:t>Hat Ihr Unternehmen gerade wirtschaftlich zu kämpfen, sollten Sie Prüfungen in betreffenden Bereichen minimalinvasiv durchführen. Achten Sie darauf, dass die Belastung durch Ihre Prüfung möglichst gering bleibt.</w:t>
            </w:r>
          </w:p>
        </w:tc>
      </w:tr>
      <w:tr w:rsidR="00612856" w14:paraId="04399AD2" w14:textId="77777777" w:rsidTr="00E804E1">
        <w:tc>
          <w:tcPr>
            <w:tcW w:w="1413" w:type="dxa"/>
          </w:tcPr>
          <w:p w14:paraId="52AC8E33" w14:textId="77777777" w:rsidR="00612856" w:rsidRDefault="00612856" w:rsidP="00E804E1">
            <w:pPr>
              <w:pStyle w:val="KeinLeerraum"/>
            </w:pPr>
            <w:r>
              <w:lastRenderedPageBreak/>
              <w:t>November</w:t>
            </w:r>
          </w:p>
        </w:tc>
        <w:tc>
          <w:tcPr>
            <w:tcW w:w="2268" w:type="dxa"/>
          </w:tcPr>
          <w:p w14:paraId="40D817BD" w14:textId="77777777" w:rsidR="00612856" w:rsidRDefault="00612856" w:rsidP="00E804E1">
            <w:pPr>
              <w:pStyle w:val="KeinLeerraum"/>
            </w:pPr>
            <w:r>
              <w:t>Budget- und Ressourcenplanung 2027</w:t>
            </w:r>
          </w:p>
        </w:tc>
        <w:tc>
          <w:tcPr>
            <w:tcW w:w="5381" w:type="dxa"/>
          </w:tcPr>
          <w:p w14:paraId="3D138600" w14:textId="77777777" w:rsidR="00612856" w:rsidRDefault="00612856" w:rsidP="00612856">
            <w:pPr>
              <w:pStyle w:val="KeinLeerraum"/>
              <w:numPr>
                <w:ilvl w:val="0"/>
                <w:numId w:val="45"/>
              </w:numPr>
            </w:pPr>
            <w:r>
              <w:t xml:space="preserve">Ermitteln Sie den Status quo für 2026 und ziehen Sie Ihre Schlüsse für die Planung für </w:t>
            </w:r>
            <w:r w:rsidRPr="0037413A">
              <w:t>2027</w:t>
            </w:r>
            <w:r w:rsidRPr="00200AC7">
              <w:t>.</w:t>
            </w:r>
          </w:p>
          <w:p w14:paraId="31088DC2" w14:textId="77777777" w:rsidR="00612856" w:rsidRDefault="00612856" w:rsidP="00612856">
            <w:pPr>
              <w:pStyle w:val="KeinLeerraum"/>
              <w:numPr>
                <w:ilvl w:val="0"/>
                <w:numId w:val="45"/>
              </w:numPr>
            </w:pPr>
            <w:r>
              <w:t>Prüfen Sie, inwieweit Ihre Ausstattung passt und Sie gut arbeiten können.</w:t>
            </w:r>
          </w:p>
          <w:p w14:paraId="30332A90" w14:textId="77777777" w:rsidR="00612856" w:rsidRDefault="00612856" w:rsidP="00612856">
            <w:pPr>
              <w:pStyle w:val="KeinLeerraum"/>
              <w:numPr>
                <w:ilvl w:val="0"/>
                <w:numId w:val="45"/>
              </w:numPr>
            </w:pPr>
            <w:r>
              <w:t>Bewerten Sie, inwieweit zusätzlicher Unterstützungsbedarf besteht, etwa durch mehr Zeit für Ihre Aufgaben oder Hilfe aus anderen Bereichen.</w:t>
            </w:r>
          </w:p>
          <w:p w14:paraId="35F49D0C" w14:textId="77777777" w:rsidR="00612856" w:rsidRDefault="00612856" w:rsidP="00612856">
            <w:pPr>
              <w:pStyle w:val="KeinLeerraum"/>
              <w:numPr>
                <w:ilvl w:val="0"/>
                <w:numId w:val="45"/>
              </w:numPr>
            </w:pPr>
            <w:r>
              <w:t xml:space="preserve">Stimmen Sie sich mit anderen Bereichen ab, was 2027 an besonderen Herausforderungen auf Ihr Unternehmen zukommt. </w:t>
            </w:r>
          </w:p>
        </w:tc>
      </w:tr>
      <w:tr w:rsidR="00612856" w14:paraId="3E6F84AB" w14:textId="77777777" w:rsidTr="00E804E1">
        <w:tc>
          <w:tcPr>
            <w:tcW w:w="1413" w:type="dxa"/>
          </w:tcPr>
          <w:p w14:paraId="30F52C61" w14:textId="77777777" w:rsidR="00612856" w:rsidRDefault="00612856" w:rsidP="00E804E1">
            <w:pPr>
              <w:pStyle w:val="KeinLeerraum"/>
            </w:pPr>
            <w:r>
              <w:t>Dezember</w:t>
            </w:r>
          </w:p>
        </w:tc>
        <w:tc>
          <w:tcPr>
            <w:tcW w:w="2268" w:type="dxa"/>
          </w:tcPr>
          <w:p w14:paraId="48B440A8" w14:textId="77777777" w:rsidR="00612856" w:rsidRDefault="00612856" w:rsidP="00E804E1">
            <w:pPr>
              <w:pStyle w:val="KeinLeerraum"/>
            </w:pPr>
            <w:r>
              <w:t>Jahresbericht 2026</w:t>
            </w:r>
          </w:p>
        </w:tc>
        <w:tc>
          <w:tcPr>
            <w:tcW w:w="5381" w:type="dxa"/>
          </w:tcPr>
          <w:p w14:paraId="46214872" w14:textId="77777777" w:rsidR="00612856" w:rsidRDefault="00612856" w:rsidP="00612856">
            <w:pPr>
              <w:pStyle w:val="KeinLeerraum"/>
              <w:numPr>
                <w:ilvl w:val="0"/>
                <w:numId w:val="46"/>
              </w:numPr>
            </w:pPr>
            <w:r>
              <w:t>Erstellen Sie einen Bericht für die Unternehmensleitung. Damit können Sie nicht nur Ihre Arbeit dokumentieren. Sie können auch aufzeigen, wo Handlungs- und Unterstützungsbedarf besteht.</w:t>
            </w:r>
          </w:p>
          <w:p w14:paraId="05E507F9" w14:textId="77777777" w:rsidR="00612856" w:rsidRDefault="00612856" w:rsidP="00612856">
            <w:pPr>
              <w:pStyle w:val="KeinLeerraum"/>
              <w:numPr>
                <w:ilvl w:val="0"/>
                <w:numId w:val="46"/>
              </w:numPr>
            </w:pPr>
            <w:r>
              <w:t>Belassen Sie es nicht nur bei einem Bericht. Besprechen Sie im Nachgang mit der Unternehmensleitung nötige Aktivitäten und Folgemaßnahmen für 2027. Meist werden Sie diese begleiten müssen. Dieses Unterstützen sollten Sie dann wiederum bei Ihrer Jahresplanung berücksichtigen.</w:t>
            </w:r>
          </w:p>
        </w:tc>
      </w:tr>
    </w:tbl>
    <w:p w14:paraId="57416A36" w14:textId="77777777" w:rsidR="00612856" w:rsidRDefault="00612856" w:rsidP="00612856">
      <w:pPr>
        <w:pStyle w:val="KeinLeerraum"/>
      </w:pPr>
    </w:p>
    <w:p w14:paraId="03948E82" w14:textId="77777777" w:rsidR="00612856" w:rsidRDefault="00612856" w:rsidP="00612856">
      <w:pPr>
        <w:pStyle w:val="KeinLeerraum"/>
      </w:pPr>
    </w:p>
    <w:p w14:paraId="752BD27C" w14:textId="77777777" w:rsidR="00612856" w:rsidRDefault="00612856" w:rsidP="00612856">
      <w:pPr>
        <w:pStyle w:val="KeinLeerraum"/>
      </w:pPr>
    </w:p>
    <w:p w14:paraId="2D36E745" w14:textId="77777777" w:rsidR="00612856" w:rsidRDefault="00612856" w:rsidP="00612856">
      <w:pPr>
        <w:pStyle w:val="KeinLeerraum"/>
      </w:pPr>
    </w:p>
    <w:p w14:paraId="2E52FE3C" w14:textId="77777777" w:rsidR="00612856" w:rsidRDefault="00612856" w:rsidP="00612856">
      <w:pPr>
        <w:pStyle w:val="KeinLeerraum"/>
      </w:pPr>
    </w:p>
    <w:p w14:paraId="1C8A3D29" w14:textId="77777777" w:rsidR="004818B5" w:rsidRDefault="004818B5" w:rsidP="004818B5">
      <w:pPr>
        <w:pStyle w:val="KeinLeerraum"/>
      </w:pPr>
    </w:p>
    <w:p w14:paraId="7E590D0E" w14:textId="77777777" w:rsidR="004818B5" w:rsidRDefault="004818B5" w:rsidP="004818B5">
      <w:pPr>
        <w:pStyle w:val="KeinLeerraum"/>
      </w:pPr>
    </w:p>
    <w:p w14:paraId="3956D702" w14:textId="77777777" w:rsidR="004818B5" w:rsidRPr="000D5213" w:rsidRDefault="004818B5" w:rsidP="004818B5">
      <w:pPr>
        <w:pStyle w:val="KeinLeerraum"/>
      </w:pPr>
    </w:p>
    <w:p w14:paraId="53834A8E" w14:textId="77777777" w:rsidR="004818B5" w:rsidRPr="000D5213" w:rsidRDefault="004818B5" w:rsidP="004818B5">
      <w:pPr>
        <w:pStyle w:val="KeinLeerraum"/>
      </w:pPr>
    </w:p>
    <w:p w14:paraId="6ED019D3" w14:textId="77777777" w:rsidR="004818B5" w:rsidRPr="000D5213" w:rsidRDefault="004818B5" w:rsidP="004818B5">
      <w:pPr>
        <w:pStyle w:val="KeinLeerraum"/>
      </w:pPr>
    </w:p>
    <w:p w14:paraId="7AA8077B" w14:textId="77777777" w:rsidR="00300DC4" w:rsidRPr="004818B5" w:rsidRDefault="00300DC4" w:rsidP="004818B5"/>
    <w:sectPr w:rsidR="00300DC4" w:rsidRPr="004818B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5016B" w14:textId="77777777" w:rsidR="000E3A64" w:rsidRDefault="000E3A64" w:rsidP="00CC2216">
      <w:r>
        <w:separator/>
      </w:r>
    </w:p>
  </w:endnote>
  <w:endnote w:type="continuationSeparator" w:id="0">
    <w:p w14:paraId="497E8CC8" w14:textId="77777777" w:rsidR="000E3A64" w:rsidRDefault="000E3A64"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BE998" w14:textId="77777777" w:rsidR="000E3A64" w:rsidRDefault="000E3A64" w:rsidP="00CC2216">
      <w:r>
        <w:separator/>
      </w:r>
    </w:p>
  </w:footnote>
  <w:footnote w:type="continuationSeparator" w:id="0">
    <w:p w14:paraId="4EEF8977" w14:textId="77777777" w:rsidR="000E3A64" w:rsidRDefault="000E3A64"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8112786"/>
    <w:multiLevelType w:val="hybridMultilevel"/>
    <w:tmpl w:val="DD4C6A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5F7C85"/>
    <w:multiLevelType w:val="hybridMultilevel"/>
    <w:tmpl w:val="BC28F1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2626FD7"/>
    <w:multiLevelType w:val="hybridMultilevel"/>
    <w:tmpl w:val="D870EC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4B80E60"/>
    <w:multiLevelType w:val="hybridMultilevel"/>
    <w:tmpl w:val="681675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5F2178"/>
    <w:multiLevelType w:val="hybridMultilevel"/>
    <w:tmpl w:val="6D68B7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9396549"/>
    <w:multiLevelType w:val="hybridMultilevel"/>
    <w:tmpl w:val="E90C1F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9633A7"/>
    <w:multiLevelType w:val="hybridMultilevel"/>
    <w:tmpl w:val="7A30F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2E3B38A4"/>
    <w:multiLevelType w:val="hybridMultilevel"/>
    <w:tmpl w:val="49BE70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F1C7625"/>
    <w:multiLevelType w:val="hybridMultilevel"/>
    <w:tmpl w:val="77185E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5D0FBA"/>
    <w:multiLevelType w:val="hybridMultilevel"/>
    <w:tmpl w:val="EBA002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DC2BDE"/>
    <w:multiLevelType w:val="hybridMultilevel"/>
    <w:tmpl w:val="49BE9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525F5EDD"/>
    <w:multiLevelType w:val="hybridMultilevel"/>
    <w:tmpl w:val="22FEC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450514E"/>
    <w:multiLevelType w:val="hybridMultilevel"/>
    <w:tmpl w:val="AB32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48B301F"/>
    <w:multiLevelType w:val="hybridMultilevel"/>
    <w:tmpl w:val="BE94BF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F266E5F"/>
    <w:multiLevelType w:val="hybridMultilevel"/>
    <w:tmpl w:val="1BC6C7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0933DA2"/>
    <w:multiLevelType w:val="hybridMultilevel"/>
    <w:tmpl w:val="690200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0"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9871D8E"/>
    <w:multiLevelType w:val="hybridMultilevel"/>
    <w:tmpl w:val="EB6412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09B4BB7"/>
    <w:multiLevelType w:val="hybridMultilevel"/>
    <w:tmpl w:val="052819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25878B7"/>
    <w:multiLevelType w:val="hybridMultilevel"/>
    <w:tmpl w:val="C50CE7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2811EC1"/>
    <w:multiLevelType w:val="hybridMultilevel"/>
    <w:tmpl w:val="F8625B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2BD0072"/>
    <w:multiLevelType w:val="hybridMultilevel"/>
    <w:tmpl w:val="77E06F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2BD08A3"/>
    <w:multiLevelType w:val="hybridMultilevel"/>
    <w:tmpl w:val="2B3AA9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2E920A7"/>
    <w:multiLevelType w:val="hybridMultilevel"/>
    <w:tmpl w:val="BC42AD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1"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2"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3"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EF0A74"/>
    <w:multiLevelType w:val="hybridMultilevel"/>
    <w:tmpl w:val="6C823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FDB3934"/>
    <w:multiLevelType w:val="hybridMultilevel"/>
    <w:tmpl w:val="6B983C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31"/>
  </w:num>
  <w:num w:numId="3">
    <w:abstractNumId w:val="20"/>
  </w:num>
  <w:num w:numId="4">
    <w:abstractNumId w:val="7"/>
  </w:num>
  <w:num w:numId="5">
    <w:abstractNumId w:val="33"/>
  </w:num>
  <w:num w:numId="6">
    <w:abstractNumId w:val="10"/>
  </w:num>
  <w:num w:numId="7">
    <w:abstractNumId w:val="0"/>
  </w:num>
  <w:num w:numId="8">
    <w:abstractNumId w:val="15"/>
  </w:num>
  <w:num w:numId="9">
    <w:abstractNumId w:val="28"/>
  </w:num>
  <w:num w:numId="10">
    <w:abstractNumId w:val="43"/>
  </w:num>
  <w:num w:numId="11">
    <w:abstractNumId w:val="29"/>
  </w:num>
  <w:num w:numId="12">
    <w:abstractNumId w:val="19"/>
  </w:num>
  <w:num w:numId="13">
    <w:abstractNumId w:val="22"/>
  </w:num>
  <w:num w:numId="14">
    <w:abstractNumId w:val="40"/>
  </w:num>
  <w:num w:numId="15">
    <w:abstractNumId w:val="41"/>
  </w:num>
  <w:num w:numId="16">
    <w:abstractNumId w:val="16"/>
  </w:num>
  <w:num w:numId="17">
    <w:abstractNumId w:val="12"/>
  </w:num>
  <w:num w:numId="18">
    <w:abstractNumId w:val="1"/>
  </w:num>
  <w:num w:numId="19">
    <w:abstractNumId w:val="6"/>
  </w:num>
  <w:num w:numId="20">
    <w:abstractNumId w:val="30"/>
  </w:num>
  <w:num w:numId="21">
    <w:abstractNumId w:val="42"/>
  </w:num>
  <w:num w:numId="22">
    <w:abstractNumId w:val="24"/>
  </w:num>
  <w:num w:numId="23">
    <w:abstractNumId w:val="5"/>
  </w:num>
  <w:num w:numId="24">
    <w:abstractNumId w:val="37"/>
  </w:num>
  <w:num w:numId="25">
    <w:abstractNumId w:val="25"/>
  </w:num>
  <w:num w:numId="26">
    <w:abstractNumId w:val="36"/>
  </w:num>
  <w:num w:numId="27">
    <w:abstractNumId w:val="8"/>
  </w:num>
  <w:num w:numId="28">
    <w:abstractNumId w:val="21"/>
  </w:num>
  <w:num w:numId="29">
    <w:abstractNumId w:val="3"/>
  </w:num>
  <w:num w:numId="30">
    <w:abstractNumId w:val="4"/>
  </w:num>
  <w:num w:numId="31">
    <w:abstractNumId w:val="39"/>
  </w:num>
  <w:num w:numId="32">
    <w:abstractNumId w:val="2"/>
  </w:num>
  <w:num w:numId="33">
    <w:abstractNumId w:val="23"/>
  </w:num>
  <w:num w:numId="34">
    <w:abstractNumId w:val="27"/>
  </w:num>
  <w:num w:numId="35">
    <w:abstractNumId w:val="11"/>
  </w:num>
  <w:num w:numId="36">
    <w:abstractNumId w:val="45"/>
  </w:num>
  <w:num w:numId="37">
    <w:abstractNumId w:val="32"/>
  </w:num>
  <w:num w:numId="38">
    <w:abstractNumId w:val="38"/>
  </w:num>
  <w:num w:numId="39">
    <w:abstractNumId w:val="35"/>
  </w:num>
  <w:num w:numId="40">
    <w:abstractNumId w:val="26"/>
  </w:num>
  <w:num w:numId="41">
    <w:abstractNumId w:val="44"/>
  </w:num>
  <w:num w:numId="42">
    <w:abstractNumId w:val="13"/>
  </w:num>
  <w:num w:numId="43">
    <w:abstractNumId w:val="14"/>
  </w:num>
  <w:num w:numId="44">
    <w:abstractNumId w:val="34"/>
  </w:num>
  <w:num w:numId="45">
    <w:abstractNumId w:val="9"/>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0E3A64"/>
    <w:rsid w:val="00152C55"/>
    <w:rsid w:val="001B14AD"/>
    <w:rsid w:val="001D11CB"/>
    <w:rsid w:val="002212CF"/>
    <w:rsid w:val="00291DAF"/>
    <w:rsid w:val="002D75F0"/>
    <w:rsid w:val="00300DC4"/>
    <w:rsid w:val="00351F26"/>
    <w:rsid w:val="003E47CA"/>
    <w:rsid w:val="003E52CE"/>
    <w:rsid w:val="00432E27"/>
    <w:rsid w:val="0044072D"/>
    <w:rsid w:val="00456C69"/>
    <w:rsid w:val="004818B5"/>
    <w:rsid w:val="004C79F3"/>
    <w:rsid w:val="005105F0"/>
    <w:rsid w:val="005717AA"/>
    <w:rsid w:val="005A6A71"/>
    <w:rsid w:val="005C5465"/>
    <w:rsid w:val="00612856"/>
    <w:rsid w:val="00696A56"/>
    <w:rsid w:val="0072310B"/>
    <w:rsid w:val="00996806"/>
    <w:rsid w:val="00AB25D6"/>
    <w:rsid w:val="00AC39D5"/>
    <w:rsid w:val="00B367BE"/>
    <w:rsid w:val="00BB0D08"/>
    <w:rsid w:val="00BE0F4E"/>
    <w:rsid w:val="00CB13B2"/>
    <w:rsid w:val="00CC2216"/>
    <w:rsid w:val="00DC69D7"/>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5934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2025-11-03T11:49:00Z</dcterms:created>
  <dcterms:modified xsi:type="dcterms:W3CDTF">2025-11-03T11:49:00Z</dcterms:modified>
</cp:coreProperties>
</file>