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020B1" w14:textId="77777777" w:rsidR="007125E9" w:rsidRPr="0064534F" w:rsidRDefault="00000000">
      <w:pPr>
        <w:shd w:val="clear" w:color="auto" w:fill="C3D842"/>
        <w:rPr>
          <w:lang w:val="de-DE"/>
        </w:rPr>
      </w:pPr>
      <w:r w:rsidRPr="0064534F">
        <w:rPr>
          <w:b/>
          <w:sz w:val="28"/>
          <w:lang w:val="de-DE"/>
        </w:rPr>
        <w:t>Quiz zu Datenschutzverletzungen</w:t>
      </w:r>
    </w:p>
    <w:p w14:paraId="03C2DCDA" w14:textId="22CCC747" w:rsidR="007125E9" w:rsidRPr="0064534F" w:rsidRDefault="0064534F">
      <w:pPr>
        <w:shd w:val="clear" w:color="auto" w:fill="6A6A6A"/>
        <w:rPr>
          <w:lang w:val="de-DE"/>
        </w:rPr>
      </w:pPr>
      <w:r>
        <w:rPr>
          <w:color w:val="FFFFFF"/>
          <w:lang w:val="de-DE"/>
        </w:rPr>
        <w:br/>
      </w:r>
      <w:r w:rsidR="00000000" w:rsidRPr="0064534F">
        <w:rPr>
          <w:color w:val="FFFFFF"/>
          <w:lang w:val="de-DE"/>
        </w:rPr>
        <w:t>Um Beschäftigte auf spielerische Art und Weise ein wenig besser mit dem Datenschutz und vor allem mit Datenschutzverletzungen bekannt zu machen bzw. die entsprechende Awareness zu schaffen, bietet sich folgendes Quiz an:</w:t>
      </w:r>
      <w:r>
        <w:rPr>
          <w:color w:val="FFFFFF"/>
          <w:lang w:val="de-DE"/>
        </w:rPr>
        <w:br/>
      </w:r>
    </w:p>
    <w:tbl>
      <w:tblPr>
        <w:tblW w:w="0" w:type="auto"/>
        <w:tblLook w:val="04A0" w:firstRow="1" w:lastRow="0" w:firstColumn="1" w:lastColumn="0" w:noHBand="0" w:noVBand="1"/>
      </w:tblPr>
      <w:tblGrid>
        <w:gridCol w:w="4320"/>
        <w:gridCol w:w="4320"/>
      </w:tblGrid>
      <w:tr w:rsidR="007125E9" w14:paraId="7D5CCCCC" w14:textId="77777777" w:rsidTr="0064534F">
        <w:tc>
          <w:tcPr>
            <w:tcW w:w="4320" w:type="dxa"/>
            <w:tcBorders>
              <w:bottom w:val="single" w:sz="4" w:space="0" w:color="auto"/>
            </w:tcBorders>
            <w:shd w:val="clear" w:color="auto" w:fill="C3D842"/>
          </w:tcPr>
          <w:p w14:paraId="659F53A9" w14:textId="77777777" w:rsidR="007125E9" w:rsidRDefault="00000000">
            <w:proofErr w:type="spellStart"/>
            <w:r>
              <w:rPr>
                <w:b/>
              </w:rPr>
              <w:t>Quizfragen</w:t>
            </w:r>
            <w:proofErr w:type="spellEnd"/>
          </w:p>
        </w:tc>
        <w:tc>
          <w:tcPr>
            <w:tcW w:w="4320" w:type="dxa"/>
            <w:tcBorders>
              <w:bottom w:val="single" w:sz="4" w:space="0" w:color="auto"/>
            </w:tcBorders>
            <w:shd w:val="clear" w:color="auto" w:fill="C3D842"/>
          </w:tcPr>
          <w:p w14:paraId="2C596AA3" w14:textId="77777777" w:rsidR="007125E9" w:rsidRDefault="00000000">
            <w:r>
              <w:rPr>
                <w:b/>
              </w:rPr>
              <w:t>Antworten</w:t>
            </w:r>
          </w:p>
        </w:tc>
      </w:tr>
      <w:tr w:rsidR="007125E9" w:rsidRPr="0064534F" w14:paraId="4981C316" w14:textId="77777777" w:rsidTr="0064534F">
        <w:tc>
          <w:tcPr>
            <w:tcW w:w="4320" w:type="dxa"/>
            <w:tcBorders>
              <w:top w:val="single" w:sz="4" w:space="0" w:color="auto"/>
              <w:left w:val="single" w:sz="4" w:space="0" w:color="auto"/>
              <w:bottom w:val="single" w:sz="4" w:space="0" w:color="auto"/>
              <w:right w:val="single" w:sz="4" w:space="0" w:color="auto"/>
            </w:tcBorders>
            <w:shd w:val="clear" w:color="auto" w:fill="E7F1C6"/>
          </w:tcPr>
          <w:p w14:paraId="6C29A94A" w14:textId="77777777" w:rsidR="007125E9" w:rsidRPr="0064534F" w:rsidRDefault="00000000">
            <w:pPr>
              <w:rPr>
                <w:lang w:val="de-DE"/>
              </w:rPr>
            </w:pPr>
            <w:r w:rsidRPr="0064534F">
              <w:rPr>
                <w:lang w:val="de-DE"/>
              </w:rPr>
              <w:t>Was ist der primäre Auslöser der Meldepflicht nach Art. 33 Abs. 1 DSGVO und wann muss die Meldung spätestens erfolgen?</w:t>
            </w:r>
          </w:p>
        </w:tc>
        <w:tc>
          <w:tcPr>
            <w:tcW w:w="4320" w:type="dxa"/>
            <w:tcBorders>
              <w:top w:val="single" w:sz="4" w:space="0" w:color="auto"/>
              <w:left w:val="single" w:sz="4" w:space="0" w:color="auto"/>
              <w:bottom w:val="single" w:sz="4" w:space="0" w:color="auto"/>
              <w:right w:val="single" w:sz="4" w:space="0" w:color="auto"/>
            </w:tcBorders>
            <w:shd w:val="clear" w:color="auto" w:fill="E7F1C6"/>
          </w:tcPr>
          <w:p w14:paraId="15506D67" w14:textId="77777777" w:rsidR="007125E9" w:rsidRPr="0064534F" w:rsidRDefault="00000000">
            <w:pPr>
              <w:rPr>
                <w:lang w:val="de-DE"/>
              </w:rPr>
            </w:pPr>
            <w:r w:rsidRPr="0064534F">
              <w:rPr>
                <w:lang w:val="de-DE"/>
              </w:rPr>
              <w:t>Der primäre Auslöser der Meldepflicht nach Art. 33 Abs. 1 DSGVO ist die Kenntniserlangung der Schutzverletzung im Zusammenhang mit personenbezogenen Daten. Die Meldung muss unverzüglich, jedoch nicht später als 72 Stunden nach Kenntniserlangung an die Aufsichtsbehörde erfolgen.</w:t>
            </w:r>
          </w:p>
        </w:tc>
      </w:tr>
      <w:tr w:rsidR="007125E9" w:rsidRPr="0064534F" w14:paraId="76DDE289" w14:textId="77777777" w:rsidTr="0064534F">
        <w:tc>
          <w:tcPr>
            <w:tcW w:w="4320" w:type="dxa"/>
            <w:tcBorders>
              <w:top w:val="single" w:sz="4" w:space="0" w:color="auto"/>
              <w:left w:val="single" w:sz="4" w:space="0" w:color="auto"/>
              <w:bottom w:val="single" w:sz="4" w:space="0" w:color="auto"/>
              <w:right w:val="single" w:sz="4" w:space="0" w:color="auto"/>
            </w:tcBorders>
            <w:shd w:val="clear" w:color="auto" w:fill="E7F1C6"/>
          </w:tcPr>
          <w:p w14:paraId="12260573" w14:textId="77777777" w:rsidR="007125E9" w:rsidRPr="0064534F" w:rsidRDefault="00000000">
            <w:pPr>
              <w:rPr>
                <w:lang w:val="de-DE"/>
              </w:rPr>
            </w:pPr>
            <w:r w:rsidRPr="0064534F">
              <w:rPr>
                <w:lang w:val="de-DE"/>
              </w:rPr>
              <w:t>Erklären Sie den Unterschied zwischen der Meldepflicht nach Art. 33 DSGVO und der Benachrichtigungspflicht nach Art. 34 DSGVO hinsichtlich des Risikos.</w:t>
            </w:r>
          </w:p>
        </w:tc>
        <w:tc>
          <w:tcPr>
            <w:tcW w:w="4320" w:type="dxa"/>
            <w:tcBorders>
              <w:top w:val="single" w:sz="4" w:space="0" w:color="auto"/>
              <w:left w:val="single" w:sz="4" w:space="0" w:color="auto"/>
              <w:bottom w:val="single" w:sz="4" w:space="0" w:color="auto"/>
              <w:right w:val="single" w:sz="4" w:space="0" w:color="auto"/>
            </w:tcBorders>
            <w:shd w:val="clear" w:color="auto" w:fill="E7F1C6"/>
          </w:tcPr>
          <w:p w14:paraId="57ABDA2D" w14:textId="77777777" w:rsidR="007125E9" w:rsidRPr="0064534F" w:rsidRDefault="00000000">
            <w:pPr>
              <w:rPr>
                <w:lang w:val="de-DE"/>
              </w:rPr>
            </w:pPr>
            <w:r w:rsidRPr="0064534F">
              <w:rPr>
                <w:lang w:val="de-DE"/>
              </w:rPr>
              <w:t>Die Meldepflicht nach Art. 33 DSGVO wird ausgelöst, wenn die Datenschutzverletzung voraussichtlich ein Risiko für die Rechte und Freiheiten natürlicher Personen zur Folge hat. Die Benachrichtigungspflicht nach Art. 34 DSGVO wird hingegen nur bei Bestehen eines hohen Risikos ausgelöst.</w:t>
            </w:r>
          </w:p>
        </w:tc>
      </w:tr>
      <w:tr w:rsidR="007125E9" w:rsidRPr="0064534F" w14:paraId="03EC6050" w14:textId="77777777" w:rsidTr="0064534F">
        <w:tc>
          <w:tcPr>
            <w:tcW w:w="4320" w:type="dxa"/>
            <w:tcBorders>
              <w:top w:val="single" w:sz="4" w:space="0" w:color="auto"/>
              <w:left w:val="single" w:sz="4" w:space="0" w:color="auto"/>
              <w:bottom w:val="single" w:sz="4" w:space="0" w:color="auto"/>
              <w:right w:val="single" w:sz="4" w:space="0" w:color="auto"/>
            </w:tcBorders>
            <w:shd w:val="clear" w:color="auto" w:fill="E7F1C6"/>
          </w:tcPr>
          <w:p w14:paraId="39489B14" w14:textId="77777777" w:rsidR="007125E9" w:rsidRPr="0064534F" w:rsidRDefault="00000000">
            <w:pPr>
              <w:rPr>
                <w:lang w:val="de-DE"/>
              </w:rPr>
            </w:pPr>
            <w:r w:rsidRPr="0064534F">
              <w:rPr>
                <w:lang w:val="de-DE"/>
              </w:rPr>
              <w:t>Warum ist die Dokumentation jeder Datenschutzverletzung, unabhängig vom Risiko, wichtig?</w:t>
            </w:r>
          </w:p>
        </w:tc>
        <w:tc>
          <w:tcPr>
            <w:tcW w:w="4320" w:type="dxa"/>
            <w:tcBorders>
              <w:top w:val="single" w:sz="4" w:space="0" w:color="auto"/>
              <w:left w:val="single" w:sz="4" w:space="0" w:color="auto"/>
              <w:bottom w:val="single" w:sz="4" w:space="0" w:color="auto"/>
              <w:right w:val="single" w:sz="4" w:space="0" w:color="auto"/>
            </w:tcBorders>
            <w:shd w:val="clear" w:color="auto" w:fill="E7F1C6"/>
          </w:tcPr>
          <w:p w14:paraId="31722B1A" w14:textId="77777777" w:rsidR="007125E9" w:rsidRPr="0064534F" w:rsidRDefault="00000000">
            <w:pPr>
              <w:rPr>
                <w:lang w:val="de-DE"/>
              </w:rPr>
            </w:pPr>
            <w:r w:rsidRPr="0064534F">
              <w:rPr>
                <w:lang w:val="de-DE"/>
              </w:rPr>
              <w:t>Die Dokumentation jeder Datenschutzverletzung ist wichtig, um der Rechenschaftspflicht (Art. 5 Abs. 2 DSGVO) des Verantwortlichen nachzukommen. Sie dient als Nachweis, dass angemessene Maßnahmen ergriffen wurden, und ermöglicht eine spätere Überprüfung und Analyse des Vorfalls, unabhängig davon, ob eine Meldepflicht bestand.</w:t>
            </w:r>
          </w:p>
        </w:tc>
      </w:tr>
      <w:tr w:rsidR="007125E9" w14:paraId="0EAB9081" w14:textId="77777777" w:rsidTr="0064534F">
        <w:tc>
          <w:tcPr>
            <w:tcW w:w="4320" w:type="dxa"/>
            <w:tcBorders>
              <w:top w:val="single" w:sz="4" w:space="0" w:color="auto"/>
              <w:left w:val="single" w:sz="4" w:space="0" w:color="auto"/>
              <w:bottom w:val="single" w:sz="4" w:space="0" w:color="auto"/>
              <w:right w:val="single" w:sz="4" w:space="0" w:color="auto"/>
            </w:tcBorders>
            <w:shd w:val="clear" w:color="auto" w:fill="E7F1C6"/>
          </w:tcPr>
          <w:p w14:paraId="1E3784B4" w14:textId="77777777" w:rsidR="007125E9" w:rsidRPr="0064534F" w:rsidRDefault="00000000">
            <w:pPr>
              <w:rPr>
                <w:lang w:val="de-DE"/>
              </w:rPr>
            </w:pPr>
            <w:r w:rsidRPr="0064534F">
              <w:rPr>
                <w:lang w:val="de-DE"/>
              </w:rPr>
              <w:t>Welche drei Arten von Schäden werden im Zusammenhang mit Risiken für die Rechte und Freiheiten natürlicher Personen genannt?</w:t>
            </w:r>
          </w:p>
        </w:tc>
        <w:tc>
          <w:tcPr>
            <w:tcW w:w="4320" w:type="dxa"/>
            <w:tcBorders>
              <w:top w:val="single" w:sz="4" w:space="0" w:color="auto"/>
              <w:left w:val="single" w:sz="4" w:space="0" w:color="auto"/>
              <w:bottom w:val="single" w:sz="4" w:space="0" w:color="auto"/>
              <w:right w:val="single" w:sz="4" w:space="0" w:color="auto"/>
            </w:tcBorders>
            <w:shd w:val="clear" w:color="auto" w:fill="E7F1C6"/>
          </w:tcPr>
          <w:p w14:paraId="52EAA43D" w14:textId="77777777" w:rsidR="007125E9" w:rsidRDefault="00000000">
            <w:r w:rsidRPr="0064534F">
              <w:rPr>
                <w:lang w:val="de-DE"/>
              </w:rPr>
              <w:t xml:space="preserve">Als Risiken für die Rechte und Freiheiten natürlicher Personen werden alle drohenden physischen, materiellen oder immateriellen Schäden genannt. </w:t>
            </w:r>
            <w:r>
              <w:t xml:space="preserve">Dies </w:t>
            </w:r>
            <w:proofErr w:type="spellStart"/>
            <w:r>
              <w:t>kann</w:t>
            </w:r>
            <w:proofErr w:type="spellEnd"/>
            <w:r>
              <w:t xml:space="preserve"> </w:t>
            </w:r>
            <w:proofErr w:type="spellStart"/>
            <w:r>
              <w:t>beispielsweise</w:t>
            </w:r>
            <w:proofErr w:type="spellEnd"/>
            <w:r>
              <w:t xml:space="preserve"> </w:t>
            </w:r>
            <w:proofErr w:type="spellStart"/>
            <w:r>
              <w:lastRenderedPageBreak/>
              <w:t>Identitätsbetrug</w:t>
            </w:r>
            <w:proofErr w:type="spellEnd"/>
            <w:r>
              <w:t>, finanzielle Verluste oder Rufschädigung umfassen.</w:t>
            </w:r>
          </w:p>
        </w:tc>
      </w:tr>
      <w:tr w:rsidR="007125E9" w:rsidRPr="0064534F" w14:paraId="3DA0D18C" w14:textId="77777777" w:rsidTr="0064534F">
        <w:tc>
          <w:tcPr>
            <w:tcW w:w="4320" w:type="dxa"/>
            <w:tcBorders>
              <w:top w:val="single" w:sz="4" w:space="0" w:color="auto"/>
              <w:left w:val="single" w:sz="4" w:space="0" w:color="auto"/>
              <w:bottom w:val="single" w:sz="4" w:space="0" w:color="auto"/>
              <w:right w:val="single" w:sz="4" w:space="0" w:color="auto"/>
            </w:tcBorders>
            <w:shd w:val="clear" w:color="auto" w:fill="E7F1C6"/>
          </w:tcPr>
          <w:p w14:paraId="66D35E42" w14:textId="77777777" w:rsidR="007125E9" w:rsidRPr="0064534F" w:rsidRDefault="00000000">
            <w:pPr>
              <w:rPr>
                <w:lang w:val="de-DE"/>
              </w:rPr>
            </w:pPr>
            <w:r w:rsidRPr="0064534F">
              <w:rPr>
                <w:lang w:val="de-DE"/>
              </w:rPr>
              <w:lastRenderedPageBreak/>
              <w:t>Beschreiben Sie die Rechtslage bezüglich des Verwertungs- und Verwendungsverbots von Meldungen nach § 42 BDSG in Straf- und Ordnungswidrigkeitenverfahren.</w:t>
            </w:r>
          </w:p>
        </w:tc>
        <w:tc>
          <w:tcPr>
            <w:tcW w:w="4320" w:type="dxa"/>
            <w:tcBorders>
              <w:top w:val="single" w:sz="4" w:space="0" w:color="auto"/>
              <w:left w:val="single" w:sz="4" w:space="0" w:color="auto"/>
              <w:bottom w:val="single" w:sz="4" w:space="0" w:color="auto"/>
              <w:right w:val="single" w:sz="4" w:space="0" w:color="auto"/>
            </w:tcBorders>
            <w:shd w:val="clear" w:color="auto" w:fill="E7F1C6"/>
          </w:tcPr>
          <w:p w14:paraId="55D3E90F" w14:textId="77777777" w:rsidR="007125E9" w:rsidRPr="0064534F" w:rsidRDefault="00000000">
            <w:pPr>
              <w:rPr>
                <w:lang w:val="de-DE"/>
              </w:rPr>
            </w:pPr>
            <w:r w:rsidRPr="0064534F">
              <w:rPr>
                <w:lang w:val="de-DE"/>
              </w:rPr>
              <w:t>Meldungen nach Art. 33 DSGVO genießen ein Verwertungs- und Verwendungsgebot in Straf- und Ordnungswidrigkeitenverfahren (§ 42 Abs. 4 BDSG), was bedeutet, dass die gemeldeten Tatsachen nicht als Beweismittel gegen den Meldenden verwendet werden dürfen. Dieses Verbot soll die Bereitschaft zur Meldung von Datenschutzpannen erhöhen.</w:t>
            </w:r>
          </w:p>
        </w:tc>
      </w:tr>
      <w:tr w:rsidR="007125E9" w:rsidRPr="0064534F" w14:paraId="3D954728" w14:textId="77777777" w:rsidTr="0064534F">
        <w:tc>
          <w:tcPr>
            <w:tcW w:w="4320" w:type="dxa"/>
            <w:tcBorders>
              <w:top w:val="single" w:sz="4" w:space="0" w:color="auto"/>
              <w:left w:val="single" w:sz="4" w:space="0" w:color="auto"/>
              <w:bottom w:val="single" w:sz="4" w:space="0" w:color="auto"/>
              <w:right w:val="single" w:sz="4" w:space="0" w:color="auto"/>
            </w:tcBorders>
            <w:shd w:val="clear" w:color="auto" w:fill="E7F1C6"/>
          </w:tcPr>
          <w:p w14:paraId="5D93AD51" w14:textId="77777777" w:rsidR="007125E9" w:rsidRPr="0064534F" w:rsidRDefault="00000000">
            <w:pPr>
              <w:rPr>
                <w:lang w:val="de-DE"/>
              </w:rPr>
            </w:pPr>
            <w:r w:rsidRPr="0064534F">
              <w:rPr>
                <w:lang w:val="de-DE"/>
              </w:rPr>
              <w:t>Welche Konsequenzen können sich aus der Nichteinhaltung der Meldepflichten gemäß Art. 33, 34 DSGVO ergeben, und welche maximale Bußgeldhöhe ist hierbei möglich?</w:t>
            </w:r>
          </w:p>
        </w:tc>
        <w:tc>
          <w:tcPr>
            <w:tcW w:w="4320" w:type="dxa"/>
            <w:tcBorders>
              <w:top w:val="single" w:sz="4" w:space="0" w:color="auto"/>
              <w:left w:val="single" w:sz="4" w:space="0" w:color="auto"/>
              <w:bottom w:val="single" w:sz="4" w:space="0" w:color="auto"/>
              <w:right w:val="single" w:sz="4" w:space="0" w:color="auto"/>
            </w:tcBorders>
            <w:shd w:val="clear" w:color="auto" w:fill="E7F1C6"/>
          </w:tcPr>
          <w:p w14:paraId="056CE4E1" w14:textId="77777777" w:rsidR="007125E9" w:rsidRPr="0064534F" w:rsidRDefault="00000000">
            <w:pPr>
              <w:rPr>
                <w:lang w:val="de-DE"/>
              </w:rPr>
            </w:pPr>
            <w:r w:rsidRPr="0064534F">
              <w:rPr>
                <w:lang w:val="de-DE"/>
              </w:rPr>
              <w:t>Bei Nichteinhaltung der Meldepflichten gemäß Art. 33, 34 DSGVO kann die Aufsichtsbehörde alle ihr zur Verfügung stehenden Abhilfemaßnahmen erwägen, einschließlich der Verhängung einer angemessenen Geldstrafe. Diese kann bis zu 10 Mio. Euro oder bis zu 2 % des gesamten weltweiten Jahresumsatzes eines Unternehmens betragen.</w:t>
            </w:r>
          </w:p>
        </w:tc>
      </w:tr>
      <w:tr w:rsidR="007125E9" w:rsidRPr="0064534F" w14:paraId="2F68A52B" w14:textId="77777777" w:rsidTr="0064534F">
        <w:tc>
          <w:tcPr>
            <w:tcW w:w="4320" w:type="dxa"/>
            <w:tcBorders>
              <w:top w:val="single" w:sz="4" w:space="0" w:color="auto"/>
              <w:left w:val="single" w:sz="4" w:space="0" w:color="auto"/>
              <w:bottom w:val="single" w:sz="4" w:space="0" w:color="auto"/>
              <w:right w:val="single" w:sz="4" w:space="0" w:color="auto"/>
            </w:tcBorders>
            <w:shd w:val="clear" w:color="auto" w:fill="E7F1C6"/>
          </w:tcPr>
          <w:p w14:paraId="22D7A4F2" w14:textId="77777777" w:rsidR="007125E9" w:rsidRPr="0064534F" w:rsidRDefault="00000000">
            <w:pPr>
              <w:rPr>
                <w:lang w:val="de-DE"/>
              </w:rPr>
            </w:pPr>
            <w:r w:rsidRPr="0064534F">
              <w:rPr>
                <w:lang w:val="de-DE"/>
              </w:rPr>
              <w:t>Was sind technische und organisatorische Maßnahmen (TOM) im Kontext der IT-Sicherheit?</w:t>
            </w:r>
          </w:p>
        </w:tc>
        <w:tc>
          <w:tcPr>
            <w:tcW w:w="4320" w:type="dxa"/>
            <w:tcBorders>
              <w:top w:val="single" w:sz="4" w:space="0" w:color="auto"/>
              <w:left w:val="single" w:sz="4" w:space="0" w:color="auto"/>
              <w:bottom w:val="single" w:sz="4" w:space="0" w:color="auto"/>
              <w:right w:val="single" w:sz="4" w:space="0" w:color="auto"/>
            </w:tcBorders>
            <w:shd w:val="clear" w:color="auto" w:fill="E7F1C6"/>
          </w:tcPr>
          <w:p w14:paraId="45DFA278" w14:textId="77777777" w:rsidR="007125E9" w:rsidRPr="0064534F" w:rsidRDefault="00000000">
            <w:pPr>
              <w:rPr>
                <w:lang w:val="de-DE"/>
              </w:rPr>
            </w:pPr>
            <w:r w:rsidRPr="0064534F">
              <w:rPr>
                <w:lang w:val="de-DE"/>
              </w:rPr>
              <w:t>Technische und organisatorische Maßnahmen (TOM) sind essenzielle Bestandteile der IT-Sicherheit, die darauf abzielen, Daten und Systeme vor unbefugtem Zugriff, Verlust oder Beschädigung zu schützen. Sie umfassen eine breite Palette von Vorkehrungen, die sowohl die technologische Infrastruktur als auch die Prozesse und das Verhalten der Mitarbeiter betreffen.</w:t>
            </w:r>
          </w:p>
        </w:tc>
      </w:tr>
      <w:tr w:rsidR="007125E9" w:rsidRPr="0064534F" w14:paraId="14ED74FE" w14:textId="77777777" w:rsidTr="0064534F">
        <w:tc>
          <w:tcPr>
            <w:tcW w:w="4320" w:type="dxa"/>
            <w:tcBorders>
              <w:top w:val="single" w:sz="4" w:space="0" w:color="auto"/>
              <w:left w:val="single" w:sz="4" w:space="0" w:color="auto"/>
              <w:bottom w:val="single" w:sz="4" w:space="0" w:color="auto"/>
              <w:right w:val="single" w:sz="4" w:space="0" w:color="auto"/>
            </w:tcBorders>
            <w:shd w:val="clear" w:color="auto" w:fill="E7F1C6"/>
          </w:tcPr>
          <w:p w14:paraId="5C9538B6" w14:textId="77777777" w:rsidR="007125E9" w:rsidRPr="0064534F" w:rsidRDefault="00000000">
            <w:pPr>
              <w:rPr>
                <w:lang w:val="de-DE"/>
              </w:rPr>
            </w:pPr>
            <w:r w:rsidRPr="0064534F">
              <w:rPr>
                <w:lang w:val="de-DE"/>
              </w:rPr>
              <w:t>Welche Bedeutung haben Risikomanagement und Notfallpläne für die Praxis?</w:t>
            </w:r>
          </w:p>
        </w:tc>
        <w:tc>
          <w:tcPr>
            <w:tcW w:w="4320" w:type="dxa"/>
            <w:tcBorders>
              <w:top w:val="single" w:sz="4" w:space="0" w:color="auto"/>
              <w:left w:val="single" w:sz="4" w:space="0" w:color="auto"/>
              <w:bottom w:val="single" w:sz="4" w:space="0" w:color="auto"/>
              <w:right w:val="single" w:sz="4" w:space="0" w:color="auto"/>
            </w:tcBorders>
            <w:shd w:val="clear" w:color="auto" w:fill="E7F1C6"/>
          </w:tcPr>
          <w:p w14:paraId="63AD9301" w14:textId="77777777" w:rsidR="007125E9" w:rsidRPr="0064534F" w:rsidRDefault="00000000">
            <w:pPr>
              <w:rPr>
                <w:lang w:val="de-DE"/>
              </w:rPr>
            </w:pPr>
            <w:r w:rsidRPr="0064534F">
              <w:rPr>
                <w:lang w:val="de-DE"/>
              </w:rPr>
              <w:t>Risikomanagement und Notfallpläne sind von fundamentaler Bedeutung für die IT-Sicherheit einer Organisation, da sie darauf abzielen, die Kontinuität des Betriebs auch im Fall von Sicherheitsvorfällen oder Katastrophen zu gewährleisten.</w:t>
            </w:r>
          </w:p>
        </w:tc>
      </w:tr>
    </w:tbl>
    <w:p w14:paraId="74ADEFC3" w14:textId="77777777" w:rsidR="00795DA6" w:rsidRPr="0064534F" w:rsidRDefault="00795DA6">
      <w:pPr>
        <w:rPr>
          <w:lang w:val="de-DE"/>
        </w:rPr>
      </w:pPr>
    </w:p>
    <w:sectPr w:rsidR="00795DA6" w:rsidRPr="0064534F"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05606" w14:textId="77777777" w:rsidR="00795DA6" w:rsidRDefault="00795DA6" w:rsidP="0064534F">
      <w:pPr>
        <w:spacing w:after="0" w:line="240" w:lineRule="auto"/>
      </w:pPr>
      <w:r>
        <w:separator/>
      </w:r>
    </w:p>
  </w:endnote>
  <w:endnote w:type="continuationSeparator" w:id="0">
    <w:p w14:paraId="576FAE0C" w14:textId="77777777" w:rsidR="00795DA6" w:rsidRDefault="00795DA6" w:rsidP="00645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A98" w14:textId="1AE3EC74" w:rsidR="0064534F" w:rsidRPr="0064534F" w:rsidRDefault="0064534F" w:rsidP="0064534F">
    <w:pPr>
      <w:pStyle w:val="Fuzeile"/>
    </w:pPr>
    <w:r>
      <w:rPr>
        <w:rFonts w:cstheme="minorHAnsi"/>
      </w:rPr>
      <w:t>©</w:t>
    </w:r>
    <w:r>
      <w:t xml:space="preserve"> </w:t>
    </w:r>
    <w:proofErr w:type="spellStart"/>
    <w:r>
      <w:t>PrivacyXperts</w:t>
    </w:r>
    <w:proofErr w:type="spellEnd"/>
    <w:r>
      <w:rPr>
        <w:rFonts w:cstheme="minorHAnsi"/>
        <w:b/>
        <w:bCs/>
        <w:noProof/>
        <w:color w:val="000000"/>
      </w:rPr>
      <mc:AlternateContent>
        <mc:Choice Requires="wps">
          <w:drawing>
            <wp:anchor distT="0" distB="0" distL="114300" distR="114300" simplePos="0" relativeHeight="251660800" behindDoc="0" locked="0" layoutInCell="1" allowOverlap="1" wp14:anchorId="6335A00C" wp14:editId="26B578B1">
              <wp:simplePos x="0" y="0"/>
              <wp:positionH relativeFrom="page">
                <wp:posOffset>38100</wp:posOffset>
              </wp:positionH>
              <wp:positionV relativeFrom="paragraph">
                <wp:posOffset>194945</wp:posOffset>
              </wp:positionV>
              <wp:extent cx="7729855" cy="414655"/>
              <wp:effectExtent l="0" t="0" r="4445" b="4445"/>
              <wp:wrapNone/>
              <wp:docPr id="4" name="Rechtwinkliges Dreieck 4"/>
              <wp:cNvGraphicFramePr/>
              <a:graphic xmlns:a="http://schemas.openxmlformats.org/drawingml/2006/main">
                <a:graphicData uri="http://schemas.microsoft.com/office/word/2010/wordprocessingShape">
                  <wps:wsp>
                    <wps:cNvSpPr/>
                    <wps:spPr>
                      <a:xfrm flipH="1">
                        <a:off x="0" y="0"/>
                        <a:ext cx="7729855" cy="414655"/>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6B2BF62" id="_x0000_t6" coordsize="21600,21600" o:spt="6" path="m,l,21600r21600,xe">
              <v:stroke joinstyle="miter"/>
              <v:path gradientshapeok="t" o:connecttype="custom" o:connectlocs="0,0;0,10800;0,21600;10800,21600;21600,21600;10800,10800" textboxrect="1800,12600,12600,19800"/>
            </v:shapetype>
            <v:shape id="Rechtwinkliges Dreieck 4" o:spid="_x0000_s1026" type="#_x0000_t6" style="position:absolute;margin-left:3pt;margin-top:15.35pt;width:608.65pt;height:32.65pt;flip:x;z-index:25166080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" fillcolor="#a9d65e" stroked="f" strokeweight="2pt">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73EE" w14:textId="77777777" w:rsidR="00795DA6" w:rsidRDefault="00795DA6" w:rsidP="0064534F">
      <w:pPr>
        <w:spacing w:after="0" w:line="240" w:lineRule="auto"/>
      </w:pPr>
      <w:r>
        <w:separator/>
      </w:r>
    </w:p>
  </w:footnote>
  <w:footnote w:type="continuationSeparator" w:id="0">
    <w:p w14:paraId="5EF71843" w14:textId="77777777" w:rsidR="00795DA6" w:rsidRDefault="00795DA6" w:rsidP="00645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CEB41" w14:textId="1A215586" w:rsidR="0064534F" w:rsidRDefault="0064534F">
    <w:pPr>
      <w:pStyle w:val="Kopfzeile"/>
    </w:pPr>
    <w:r>
      <w:rPr>
        <w:noProof/>
      </w:rPr>
      <mc:AlternateContent>
        <mc:Choice Requires="wps">
          <w:drawing>
            <wp:anchor distT="0" distB="0" distL="114300" distR="114300" simplePos="0" relativeHeight="251655680" behindDoc="0" locked="0" layoutInCell="1" allowOverlap="1" wp14:anchorId="19906CE3" wp14:editId="0AF92A92">
              <wp:simplePos x="0" y="0"/>
              <wp:positionH relativeFrom="column">
                <wp:posOffset>-1123950</wp:posOffset>
              </wp:positionH>
              <wp:positionV relativeFrom="paragraph">
                <wp:posOffset>-438150</wp:posOffset>
              </wp:positionV>
              <wp:extent cx="7729855" cy="414655"/>
              <wp:effectExtent l="0" t="0" r="4445" b="4445"/>
              <wp:wrapNone/>
              <wp:docPr id="3" name="Rechtwinkliges Dreieck 1"/>
              <wp:cNvGraphicFramePr/>
              <a:graphic xmlns:a="http://schemas.openxmlformats.org/drawingml/2006/main">
                <a:graphicData uri="http://schemas.microsoft.com/office/word/2010/wordprocessingShape">
                  <wps:wsp>
                    <wps:cNvSpPr/>
                    <wps:spPr>
                      <a:xfrm rot="10800000" flipH="1">
                        <a:off x="0" y="0"/>
                        <a:ext cx="7729855" cy="414655"/>
                      </a:xfrm>
                      <a:prstGeom prst="rtTriangle">
                        <a:avLst/>
                      </a:prstGeom>
                      <a:solidFill>
                        <a:srgbClr val="A9D65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84C112" id="_x0000_t6" coordsize="21600,21600" o:spt="6" path="m,l,21600r21600,xe">
              <v:stroke joinstyle="miter"/>
              <v:path gradientshapeok="t" o:connecttype="custom" o:connectlocs="0,0;0,10800;0,21600;10800,21600;21600,21600;10800,10800" textboxrect="1800,12600,12600,19800"/>
            </v:shapetype>
            <v:shape id="Rechtwinkliges Dreieck 1" o:spid="_x0000_s1026" type="#_x0000_t6" style="position:absolute;margin-left:-88.5pt;margin-top:-34.5pt;width:608.65pt;height:32.65pt;rotation:180;flip:x;z-index:251655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" fillcolor="#a9d65e" stroked="f" strokeweight="2pt"/>
          </w:pict>
        </mc:Fallback>
      </mc:AlternateContent>
    </w:r>
  </w:p>
  <w:p w14:paraId="20CF81CE" w14:textId="60F61FE4" w:rsidR="0064534F" w:rsidRDefault="0064534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728117328">
    <w:abstractNumId w:val="8"/>
  </w:num>
  <w:num w:numId="2" w16cid:durableId="1567185287">
    <w:abstractNumId w:val="6"/>
  </w:num>
  <w:num w:numId="3" w16cid:durableId="88235844">
    <w:abstractNumId w:val="5"/>
  </w:num>
  <w:num w:numId="4" w16cid:durableId="2115594362">
    <w:abstractNumId w:val="4"/>
  </w:num>
  <w:num w:numId="5" w16cid:durableId="1647541234">
    <w:abstractNumId w:val="7"/>
  </w:num>
  <w:num w:numId="6" w16cid:durableId="336663973">
    <w:abstractNumId w:val="3"/>
  </w:num>
  <w:num w:numId="7" w16cid:durableId="1756396959">
    <w:abstractNumId w:val="2"/>
  </w:num>
  <w:num w:numId="8" w16cid:durableId="1799447309">
    <w:abstractNumId w:val="1"/>
  </w:num>
  <w:num w:numId="9" w16cid:durableId="641934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4534F"/>
    <w:rsid w:val="00661943"/>
    <w:rsid w:val="007125E9"/>
    <w:rsid w:val="00795DA6"/>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D30D2"/>
  <w14:defaultImageDpi w14:val="300"/>
  <w15:docId w15:val="{A5024AC1-091F-4186-BC25-CA4D6455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Calibri" w:eastAsia="Calibri" w:hAnsi="Calibri"/>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3132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FJR - Franziska Rohrbach</cp:lastModifiedBy>
  <cp:revision>2</cp:revision>
  <dcterms:created xsi:type="dcterms:W3CDTF">2025-11-17T21:23:00Z</dcterms:created>
  <dcterms:modified xsi:type="dcterms:W3CDTF">2025-11-17T21:23:00Z</dcterms:modified>
  <cp:category/>
</cp:coreProperties>
</file>