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0AFE8" w14:textId="77777777" w:rsidR="00510962" w:rsidRPr="00560D41" w:rsidRDefault="00510962" w:rsidP="00510962">
      <w:pPr>
        <w:rPr>
          <w:rFonts w:ascii="Arial" w:eastAsia="Calibri" w:hAnsi="Arial" w:cs="Times New Roman"/>
          <w:b/>
          <w:bCs/>
          <w:sz w:val="20"/>
        </w:rPr>
      </w:pPr>
      <w:r w:rsidRPr="00560D41">
        <w:rPr>
          <w:rFonts w:ascii="Arial" w:eastAsia="Calibri" w:hAnsi="Arial" w:cs="Times New Roman"/>
          <w:b/>
          <w:bCs/>
          <w:sz w:val="20"/>
        </w:rPr>
        <w:t xml:space="preserve">Checkliste: </w:t>
      </w:r>
      <w:bookmarkStart w:id="0" w:name="_GoBack"/>
      <w:r w:rsidRPr="00560D41">
        <w:rPr>
          <w:rFonts w:ascii="Arial" w:eastAsia="Calibri" w:hAnsi="Arial" w:cs="Times New Roman"/>
          <w:b/>
          <w:bCs/>
          <w:sz w:val="20"/>
        </w:rPr>
        <w:t>Diesen Personen sollten Sie danken</w:t>
      </w:r>
      <w:bookmarkEnd w:id="0"/>
    </w:p>
    <w:p w14:paraId="65D90669" w14:textId="77777777" w:rsidR="00510962" w:rsidRPr="00560D41" w:rsidRDefault="00510962" w:rsidP="00510962">
      <w:pPr>
        <w:rPr>
          <w:rFonts w:ascii="Arial" w:eastAsia="Calibri" w:hAnsi="Arial" w:cs="Times New Roman"/>
          <w:sz w:val="20"/>
        </w:rPr>
      </w:pPr>
    </w:p>
    <w:tbl>
      <w:tblPr>
        <w:tblStyle w:val="Tabellenraster1"/>
        <w:tblW w:w="0" w:type="auto"/>
        <w:tblLook w:val="04A0" w:firstRow="1" w:lastRow="0" w:firstColumn="1" w:lastColumn="0" w:noHBand="0" w:noVBand="1"/>
      </w:tblPr>
      <w:tblGrid>
        <w:gridCol w:w="2551"/>
        <w:gridCol w:w="4694"/>
        <w:gridCol w:w="1817"/>
      </w:tblGrid>
      <w:tr w:rsidR="00510962" w:rsidRPr="00560D41" w14:paraId="02A959AF" w14:textId="77777777" w:rsidTr="000E208E">
        <w:tc>
          <w:tcPr>
            <w:tcW w:w="2551" w:type="dxa"/>
            <w:shd w:val="clear" w:color="auto" w:fill="DBE5F1"/>
          </w:tcPr>
          <w:p w14:paraId="51D7CDA6" w14:textId="77777777" w:rsidR="00510962" w:rsidRPr="00560D41" w:rsidRDefault="00510962" w:rsidP="000E208E">
            <w:pPr>
              <w:rPr>
                <w:rFonts w:ascii="Arial" w:eastAsia="Calibri" w:hAnsi="Arial" w:cs="Times New Roman"/>
                <w:b/>
                <w:bCs/>
                <w:sz w:val="20"/>
              </w:rPr>
            </w:pPr>
            <w:r w:rsidRPr="00560D41">
              <w:rPr>
                <w:rFonts w:ascii="Arial" w:eastAsia="Calibri" w:hAnsi="Arial" w:cs="Times New Roman"/>
                <w:b/>
                <w:bCs/>
                <w:sz w:val="20"/>
              </w:rPr>
              <w:t>Person</w:t>
            </w:r>
          </w:p>
        </w:tc>
        <w:tc>
          <w:tcPr>
            <w:tcW w:w="4694" w:type="dxa"/>
            <w:shd w:val="clear" w:color="auto" w:fill="DBE5F1"/>
          </w:tcPr>
          <w:p w14:paraId="5EF93B89" w14:textId="77777777" w:rsidR="00510962" w:rsidRPr="00560D41" w:rsidRDefault="00510962" w:rsidP="000E208E">
            <w:pPr>
              <w:rPr>
                <w:rFonts w:ascii="Arial" w:eastAsia="Calibri" w:hAnsi="Arial" w:cs="Times New Roman"/>
                <w:b/>
                <w:bCs/>
                <w:sz w:val="20"/>
              </w:rPr>
            </w:pPr>
            <w:r w:rsidRPr="00560D41">
              <w:rPr>
                <w:rFonts w:ascii="Arial" w:eastAsia="Calibri" w:hAnsi="Arial" w:cs="Times New Roman"/>
                <w:b/>
                <w:bCs/>
                <w:sz w:val="20"/>
              </w:rPr>
              <w:t>Darum sollten Sie danken</w:t>
            </w:r>
          </w:p>
        </w:tc>
        <w:tc>
          <w:tcPr>
            <w:tcW w:w="1817" w:type="dxa"/>
            <w:shd w:val="clear" w:color="auto" w:fill="DBE5F1"/>
          </w:tcPr>
          <w:p w14:paraId="1A6DD5A2" w14:textId="77777777" w:rsidR="00510962" w:rsidRPr="00560D41" w:rsidRDefault="00510962" w:rsidP="000E208E">
            <w:pPr>
              <w:rPr>
                <w:rFonts w:ascii="Arial" w:eastAsia="Calibri" w:hAnsi="Arial" w:cs="Times New Roman"/>
                <w:b/>
                <w:bCs/>
                <w:sz w:val="20"/>
              </w:rPr>
            </w:pPr>
            <w:r w:rsidRPr="00560D41">
              <w:rPr>
                <w:rFonts w:ascii="Arial" w:eastAsia="Calibri" w:hAnsi="Arial" w:cs="Times New Roman"/>
                <w:b/>
                <w:bCs/>
                <w:sz w:val="20"/>
              </w:rPr>
              <w:t>Dank ausgesprochen?</w:t>
            </w:r>
          </w:p>
        </w:tc>
      </w:tr>
      <w:tr w:rsidR="00510962" w:rsidRPr="00560D41" w14:paraId="5676A074" w14:textId="77777777" w:rsidTr="000E208E">
        <w:tc>
          <w:tcPr>
            <w:tcW w:w="2551" w:type="dxa"/>
          </w:tcPr>
          <w:p w14:paraId="35E23A09"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Unternehmensleitung</w:t>
            </w:r>
          </w:p>
        </w:tc>
        <w:tc>
          <w:tcPr>
            <w:tcW w:w="4694" w:type="dxa"/>
          </w:tcPr>
          <w:p w14:paraId="42D92C3C"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Hier liegt nicht nur die Verantwortung für den Datenschutz insgesamt. Sie haben hier auch meist Ihre größten Unterstützer. Ohne Unterstützung können Sie Ihre Aufgaben nur mehr schlecht als recht wahrnehmen.</w:t>
            </w:r>
          </w:p>
        </w:tc>
        <w:tc>
          <w:tcPr>
            <w:tcW w:w="1817" w:type="dxa"/>
          </w:tcPr>
          <w:p w14:paraId="2082D6C9"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267690FB" w14:textId="77777777" w:rsidTr="000E208E">
        <w:tc>
          <w:tcPr>
            <w:tcW w:w="2551" w:type="dxa"/>
          </w:tcPr>
          <w:p w14:paraId="1FF66E44"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Assistenzen der Geschäftsführung</w:t>
            </w:r>
          </w:p>
        </w:tc>
        <w:tc>
          <w:tcPr>
            <w:tcW w:w="4694" w:type="dxa"/>
          </w:tcPr>
          <w:p w14:paraId="4BF0DE4D"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Unterschätzen Sie die Bedeutung dieser Zielgruppe nicht. Oftmals erhalten Sie hier nicht nur frühzeitig wichtige Informationen. Das „Vorzimmer“ ist auch meist Türöffner für Sie, wenn Sie Zugang zur Geschäftsführung oder kurzfristig Termine brauchen. Nicht selten werden auch hier delegierte Entscheidungen getroffen, etwa zur Beschaffung von Arbeitsmitteln.</w:t>
            </w:r>
          </w:p>
        </w:tc>
        <w:tc>
          <w:tcPr>
            <w:tcW w:w="1817" w:type="dxa"/>
          </w:tcPr>
          <w:p w14:paraId="728D0144"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3AF8FF3C" w14:textId="77777777" w:rsidTr="000E208E">
        <w:tc>
          <w:tcPr>
            <w:tcW w:w="2551" w:type="dxa"/>
          </w:tcPr>
          <w:p w14:paraId="2DA4A9A7"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Datenschutzkoordinatoren und Unterstützer</w:t>
            </w:r>
          </w:p>
        </w:tc>
        <w:tc>
          <w:tcPr>
            <w:tcW w:w="4694" w:type="dxa"/>
          </w:tcPr>
          <w:p w14:paraId="210D358D"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Schauen Sie in Ihr näheres Umfeld. Haben Sie Mitarbeiter, dürfen Sie diese beim Danksagen nicht vergessen. Denken Sie auch an helfende Hände aus anderen Bereichen.</w:t>
            </w:r>
          </w:p>
        </w:tc>
        <w:tc>
          <w:tcPr>
            <w:tcW w:w="1817" w:type="dxa"/>
          </w:tcPr>
          <w:p w14:paraId="12CC1973"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7AE450C8" w14:textId="77777777" w:rsidTr="000E208E">
        <w:tc>
          <w:tcPr>
            <w:tcW w:w="2551" w:type="dxa"/>
          </w:tcPr>
          <w:p w14:paraId="7D646BF2"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IT-Leiter und IT-Kollegen</w:t>
            </w:r>
          </w:p>
        </w:tc>
        <w:tc>
          <w:tcPr>
            <w:tcW w:w="4694" w:type="dxa"/>
          </w:tcPr>
          <w:p w14:paraId="108E2A3D"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Hier haben Sie unverzichtbare Partner, wenn es um die Umsetzung des Datenschutzes geht, insbesondere bei Schutzmaßnahmen. Sagen Sie Danke und sichern Sie sich eine weiterhin gute Zusammenarbeit.</w:t>
            </w:r>
          </w:p>
        </w:tc>
        <w:tc>
          <w:tcPr>
            <w:tcW w:w="1817" w:type="dxa"/>
          </w:tcPr>
          <w:p w14:paraId="38F71B6F"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1899148E" w14:textId="77777777" w:rsidTr="000E208E">
        <w:tc>
          <w:tcPr>
            <w:tcW w:w="2551" w:type="dxa"/>
          </w:tcPr>
          <w:p w14:paraId="23FBF23B"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Wichtige Ansprechpartner</w:t>
            </w:r>
          </w:p>
        </w:tc>
        <w:tc>
          <w:tcPr>
            <w:tcW w:w="4694" w:type="dxa"/>
          </w:tcPr>
          <w:p w14:paraId="138898BA"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Garantiert haben Sie wichtige Ansprechpartner, die etwa die Erfüllung von Betroffenenrechten oder datenschutzrelevante Prozesse steuern. Das ist nicht selbstverständlich. Bringen Sie Wertschätzung zum Ausdruck.</w:t>
            </w:r>
          </w:p>
        </w:tc>
        <w:tc>
          <w:tcPr>
            <w:tcW w:w="1817" w:type="dxa"/>
          </w:tcPr>
          <w:p w14:paraId="7A57E27F"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303BDD09" w14:textId="77777777" w:rsidTr="000E208E">
        <w:tc>
          <w:tcPr>
            <w:tcW w:w="2551" w:type="dxa"/>
          </w:tcPr>
          <w:p w14:paraId="43B64D26"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Betriebsrat</w:t>
            </w:r>
          </w:p>
        </w:tc>
        <w:tc>
          <w:tcPr>
            <w:tcW w:w="4694" w:type="dxa"/>
          </w:tcPr>
          <w:p w14:paraId="43BA822C"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Auch hier ist wichtig, dass Sie Danke sagen und weiterhin eine gute Zusammenarbeit fördern. Zudem kann der Betriebsrat für Sie besonders wichtig werden, wenn man Ihnen irgendwann mal an den Kragen will.</w:t>
            </w:r>
          </w:p>
        </w:tc>
        <w:tc>
          <w:tcPr>
            <w:tcW w:w="1817" w:type="dxa"/>
          </w:tcPr>
          <w:p w14:paraId="6520A3E1"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5CDC4756" w14:textId="77777777" w:rsidTr="000E208E">
        <w:tc>
          <w:tcPr>
            <w:tcW w:w="2551" w:type="dxa"/>
          </w:tcPr>
          <w:p w14:paraId="039B6423"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Projektleiter wichtiger Projekte</w:t>
            </w:r>
          </w:p>
        </w:tc>
        <w:tc>
          <w:tcPr>
            <w:tcW w:w="4694" w:type="dxa"/>
          </w:tcPr>
          <w:p w14:paraId="7B5D393A"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Gab es wichtige Projekte mit viel Datenschutzrelevanz, sollten Sie sich für die gute Kooperation bedanken. Das gerade dann, wenn das Projekt schwierig war und Datenschutz eher zu den „größeren Problemen“ zählte.</w:t>
            </w:r>
          </w:p>
        </w:tc>
        <w:tc>
          <w:tcPr>
            <w:tcW w:w="1817" w:type="dxa"/>
          </w:tcPr>
          <w:p w14:paraId="42694DD9"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5E06AFAD" w14:textId="77777777" w:rsidTr="000E208E">
        <w:tc>
          <w:tcPr>
            <w:tcW w:w="2551" w:type="dxa"/>
          </w:tcPr>
          <w:p w14:paraId="09A98F5A"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Wichtige Mitstreiter in anderen Themengebieten</w:t>
            </w:r>
          </w:p>
        </w:tc>
        <w:tc>
          <w:tcPr>
            <w:tcW w:w="4694" w:type="dxa"/>
          </w:tcPr>
          <w:p w14:paraId="48ED32C2"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 xml:space="preserve">In Betracht kommen hier etwa Qualitäts- oder </w:t>
            </w:r>
            <w:proofErr w:type="spellStart"/>
            <w:r w:rsidRPr="00560D41">
              <w:rPr>
                <w:rFonts w:ascii="Arial" w:eastAsia="Calibri" w:hAnsi="Arial" w:cs="Times New Roman"/>
                <w:sz w:val="20"/>
              </w:rPr>
              <w:t>Compliancebeauftragte</w:t>
            </w:r>
            <w:proofErr w:type="spellEnd"/>
            <w:r w:rsidRPr="00560D41">
              <w:rPr>
                <w:rFonts w:ascii="Arial" w:eastAsia="Calibri" w:hAnsi="Arial" w:cs="Times New Roman"/>
                <w:sz w:val="20"/>
              </w:rPr>
              <w:t>. Sichern Sie sich mit einem Dankeschön weiterhin die gegenseitige Unterstützung.</w:t>
            </w:r>
          </w:p>
        </w:tc>
        <w:tc>
          <w:tcPr>
            <w:tcW w:w="1817" w:type="dxa"/>
          </w:tcPr>
          <w:p w14:paraId="4EC105C1"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4E4757AB" w14:textId="77777777" w:rsidTr="000E208E">
        <w:tc>
          <w:tcPr>
            <w:tcW w:w="2551" w:type="dxa"/>
          </w:tcPr>
          <w:p w14:paraId="418E75A3"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Externe Ansprechpartner</w:t>
            </w:r>
          </w:p>
        </w:tc>
        <w:tc>
          <w:tcPr>
            <w:tcW w:w="4694" w:type="dxa"/>
          </w:tcPr>
          <w:p w14:paraId="1143B660"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Gerade wenn Sie auf die Unterstützung von außen setzen, etwa durch Datenschutzberater oder Anwälte, ist ein Dankeschön keine falsche Investition in eine weiterhin konstruktive Zusammenarbeit.</w:t>
            </w:r>
          </w:p>
        </w:tc>
        <w:tc>
          <w:tcPr>
            <w:tcW w:w="1817" w:type="dxa"/>
          </w:tcPr>
          <w:p w14:paraId="6DB83147"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116E1D5E" w14:textId="77777777" w:rsidTr="000E208E">
        <w:tc>
          <w:tcPr>
            <w:tcW w:w="2551" w:type="dxa"/>
          </w:tcPr>
          <w:p w14:paraId="21FB2419"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Ansprechpartner bei Aufsichtsbehörden</w:t>
            </w:r>
          </w:p>
        </w:tc>
        <w:tc>
          <w:tcPr>
            <w:tcW w:w="4694" w:type="dxa"/>
          </w:tcPr>
          <w:p w14:paraId="3AA498EA"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 xml:space="preserve">Haben Sie mit Mitarbeitern der Datenschutzaufsicht zu tun, hat man Sie unterstützt oder Ihnen weitergeholfen, kann auch hier ein Dank angebracht sein. Seien Sie vorsichtig mit Geschenken. Die können schnell zum </w:t>
            </w:r>
            <w:proofErr w:type="spellStart"/>
            <w:r w:rsidRPr="00560D41">
              <w:rPr>
                <w:rFonts w:ascii="Arial" w:eastAsia="Calibri" w:hAnsi="Arial" w:cs="Times New Roman"/>
                <w:sz w:val="20"/>
              </w:rPr>
              <w:t>Complianceproblem</w:t>
            </w:r>
            <w:proofErr w:type="spellEnd"/>
            <w:r w:rsidRPr="00560D41">
              <w:rPr>
                <w:rFonts w:ascii="Arial" w:eastAsia="Calibri" w:hAnsi="Arial" w:cs="Times New Roman"/>
                <w:sz w:val="20"/>
              </w:rPr>
              <w:t xml:space="preserve"> werden.</w:t>
            </w:r>
          </w:p>
        </w:tc>
        <w:tc>
          <w:tcPr>
            <w:tcW w:w="1817" w:type="dxa"/>
          </w:tcPr>
          <w:p w14:paraId="578B2DEF"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r w:rsidR="00510962" w:rsidRPr="00560D41" w14:paraId="3A5F420E" w14:textId="77777777" w:rsidTr="000E208E">
        <w:tc>
          <w:tcPr>
            <w:tcW w:w="2551" w:type="dxa"/>
          </w:tcPr>
          <w:p w14:paraId="48695612"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„Leidensgenossen“ in anderen Unternehmen</w:t>
            </w:r>
          </w:p>
        </w:tc>
        <w:tc>
          <w:tcPr>
            <w:tcW w:w="4694" w:type="dxa"/>
          </w:tcPr>
          <w:p w14:paraId="0C17CFDA"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t>Kennen Sie andere Datenschutzbeauftragte und haben Sie manches mit diesen diskutiert oder erarbeitet? Dann danken Sie für den Austausch und die freundliche Unterstützung.</w:t>
            </w:r>
          </w:p>
        </w:tc>
        <w:tc>
          <w:tcPr>
            <w:tcW w:w="1817" w:type="dxa"/>
          </w:tcPr>
          <w:p w14:paraId="088D9379" w14:textId="77777777" w:rsidR="00510962" w:rsidRPr="00560D41" w:rsidRDefault="00510962" w:rsidP="000E208E">
            <w:pPr>
              <w:rPr>
                <w:rFonts w:ascii="Arial" w:eastAsia="Calibri" w:hAnsi="Arial" w:cs="Times New Roman"/>
                <w:sz w:val="20"/>
              </w:rPr>
            </w:pPr>
            <w:r w:rsidRPr="00560D41">
              <w:rPr>
                <w:rFonts w:ascii="Arial" w:eastAsia="Calibri" w:hAnsi="Arial" w:cs="Times New Roman"/>
                <w:sz w:val="20"/>
              </w:rPr>
              <w:fldChar w:fldCharType="begin">
                <w:ffData>
                  <w:name w:val="Kontrollkästchen1"/>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Ja </w:t>
            </w:r>
            <w:r w:rsidRPr="00560D41">
              <w:rPr>
                <w:rFonts w:ascii="Arial" w:eastAsia="Calibri" w:hAnsi="Arial" w:cs="Times New Roman"/>
                <w:sz w:val="20"/>
              </w:rPr>
              <w:fldChar w:fldCharType="begin">
                <w:ffData>
                  <w:name w:val="Kontrollkästchen2"/>
                  <w:enabled/>
                  <w:calcOnExit w:val="0"/>
                  <w:checkBox>
                    <w:sizeAuto/>
                    <w:default w:val="0"/>
                  </w:checkBox>
                </w:ffData>
              </w:fldChar>
            </w:r>
            <w:r w:rsidRPr="00560D41">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560D41">
              <w:rPr>
                <w:rFonts w:ascii="Arial" w:eastAsia="Calibri" w:hAnsi="Arial" w:cs="Times New Roman"/>
                <w:sz w:val="20"/>
              </w:rPr>
              <w:fldChar w:fldCharType="end"/>
            </w:r>
            <w:r w:rsidRPr="00560D41">
              <w:rPr>
                <w:rFonts w:ascii="Arial" w:eastAsia="Calibri" w:hAnsi="Arial" w:cs="Times New Roman"/>
                <w:sz w:val="20"/>
              </w:rPr>
              <w:t xml:space="preserve"> Nein</w:t>
            </w:r>
          </w:p>
        </w:tc>
      </w:tr>
    </w:tbl>
    <w:p w14:paraId="7375D64B" w14:textId="77777777" w:rsidR="00510962" w:rsidRDefault="00510962" w:rsidP="00510962"/>
    <w:p w14:paraId="7AA8077B" w14:textId="77777777" w:rsidR="00300DC4" w:rsidRPr="00510962" w:rsidRDefault="00300DC4" w:rsidP="00510962"/>
    <w:sectPr w:rsidR="00300DC4" w:rsidRPr="0051096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185BE" w14:textId="77777777" w:rsidR="007E15BB" w:rsidRDefault="007E15BB" w:rsidP="00CC2216">
      <w:r>
        <w:separator/>
      </w:r>
    </w:p>
  </w:endnote>
  <w:endnote w:type="continuationSeparator" w:id="0">
    <w:p w14:paraId="25B26934" w14:textId="77777777" w:rsidR="007E15BB" w:rsidRDefault="007E15BB"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A687" w14:textId="77777777" w:rsidR="007E15BB" w:rsidRDefault="007E15BB" w:rsidP="00CC2216">
      <w:r>
        <w:separator/>
      </w:r>
    </w:p>
  </w:footnote>
  <w:footnote w:type="continuationSeparator" w:id="0">
    <w:p w14:paraId="010B6F31" w14:textId="77777777" w:rsidR="007E15BB" w:rsidRDefault="007E15BB"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10962"/>
    <w:rsid w:val="005717AA"/>
    <w:rsid w:val="005A6A71"/>
    <w:rsid w:val="005C5465"/>
    <w:rsid w:val="006251E4"/>
    <w:rsid w:val="00696A56"/>
    <w:rsid w:val="0072310B"/>
    <w:rsid w:val="007E15B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2025-12-10T06:14:00Z</dcterms:created>
  <dcterms:modified xsi:type="dcterms:W3CDTF">2025-12-10T06:14:00Z</dcterms:modified>
</cp:coreProperties>
</file>