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46E77" w14:textId="1289F118" w:rsidR="00D66349" w:rsidRDefault="0045281F" w:rsidP="0045281F">
      <w:pPr>
        <w:pStyle w:val="KeinLeerraum"/>
        <w:rPr>
          <w:rFonts w:ascii="FrutigerLTStd-BlackCn" w:hAnsi="FrutigerLTStd-BlackCn" w:cs="FrutigerLTStd-BlackCn"/>
          <w:sz w:val="26"/>
          <w:szCs w:val="26"/>
        </w:rPr>
      </w:pPr>
      <w:r w:rsidRPr="005E4563">
        <w:rPr>
          <w:b/>
          <w:bCs/>
        </w:rPr>
        <w:t xml:space="preserve">Checkliste: </w:t>
      </w:r>
      <w:r w:rsidR="003E3F1E">
        <w:rPr>
          <w:rFonts w:cs="Arial"/>
          <w:b/>
          <w:szCs w:val="20"/>
        </w:rPr>
        <w:t>Frühjahrsputz</w:t>
      </w:r>
      <w:bookmarkStart w:id="0" w:name="_GoBack"/>
      <w:bookmarkEnd w:id="0"/>
    </w:p>
    <w:p w14:paraId="617CD3F7" w14:textId="77777777" w:rsidR="00D66349" w:rsidRDefault="00D66349" w:rsidP="0045281F">
      <w:pPr>
        <w:pStyle w:val="KeinLeerraum"/>
        <w:rPr>
          <w:b/>
          <w:bCs/>
        </w:rPr>
      </w:pPr>
    </w:p>
    <w:tbl>
      <w:tblPr>
        <w:tblStyle w:val="Tabellenraster"/>
        <w:tblW w:w="0" w:type="auto"/>
        <w:tblLook w:val="04A0" w:firstRow="1" w:lastRow="0" w:firstColumn="1" w:lastColumn="0" w:noHBand="0" w:noVBand="1"/>
      </w:tblPr>
      <w:tblGrid>
        <w:gridCol w:w="3020"/>
        <w:gridCol w:w="4346"/>
        <w:gridCol w:w="1696"/>
      </w:tblGrid>
      <w:tr w:rsidR="003E3F1E" w14:paraId="5DEDAF01" w14:textId="77777777" w:rsidTr="00CC7F39">
        <w:tc>
          <w:tcPr>
            <w:tcW w:w="3020" w:type="dxa"/>
            <w:shd w:val="clear" w:color="auto" w:fill="D9E2F3" w:themeFill="accent1" w:themeFillTint="33"/>
          </w:tcPr>
          <w:p w14:paraId="7D2124A1" w14:textId="77777777" w:rsidR="003E3F1E" w:rsidRPr="0046614B" w:rsidRDefault="003E3F1E" w:rsidP="00CC7F39">
            <w:pPr>
              <w:pStyle w:val="KeinLeerraum"/>
              <w:rPr>
                <w:b/>
                <w:bCs/>
              </w:rPr>
            </w:pPr>
            <w:r w:rsidRPr="0046614B">
              <w:rPr>
                <w:b/>
                <w:bCs/>
              </w:rPr>
              <w:t>Ihr Beitrag zum Putzerfolg</w:t>
            </w:r>
          </w:p>
        </w:tc>
        <w:tc>
          <w:tcPr>
            <w:tcW w:w="4346" w:type="dxa"/>
            <w:shd w:val="clear" w:color="auto" w:fill="D9E2F3" w:themeFill="accent1" w:themeFillTint="33"/>
          </w:tcPr>
          <w:p w14:paraId="7B873CDB" w14:textId="77777777" w:rsidR="003E3F1E" w:rsidRPr="0046614B" w:rsidRDefault="003E3F1E" w:rsidP="00CC7F39">
            <w:pPr>
              <w:pStyle w:val="KeinLeerraum"/>
              <w:rPr>
                <w:b/>
                <w:bCs/>
              </w:rPr>
            </w:pPr>
            <w:r w:rsidRPr="0046614B">
              <w:rPr>
                <w:b/>
                <w:bCs/>
              </w:rPr>
              <w:t>Erläuterungen</w:t>
            </w:r>
          </w:p>
        </w:tc>
        <w:tc>
          <w:tcPr>
            <w:tcW w:w="1696" w:type="dxa"/>
            <w:shd w:val="clear" w:color="auto" w:fill="D9E2F3" w:themeFill="accent1" w:themeFillTint="33"/>
          </w:tcPr>
          <w:p w14:paraId="0E368DE1" w14:textId="77777777" w:rsidR="003E3F1E" w:rsidRPr="0046614B" w:rsidRDefault="003E3F1E" w:rsidP="00CC7F39">
            <w:pPr>
              <w:pStyle w:val="KeinLeerraum"/>
              <w:rPr>
                <w:b/>
                <w:bCs/>
              </w:rPr>
            </w:pPr>
            <w:r w:rsidRPr="0046614B">
              <w:rPr>
                <w:b/>
                <w:bCs/>
              </w:rPr>
              <w:t>Ist erledigt?</w:t>
            </w:r>
          </w:p>
        </w:tc>
      </w:tr>
      <w:tr w:rsidR="003E3F1E" w14:paraId="0C24D45F" w14:textId="77777777" w:rsidTr="00CC7F39">
        <w:tc>
          <w:tcPr>
            <w:tcW w:w="3020" w:type="dxa"/>
            <w:shd w:val="clear" w:color="auto" w:fill="D9E2F3" w:themeFill="accent1" w:themeFillTint="33"/>
          </w:tcPr>
          <w:p w14:paraId="025F9109" w14:textId="77777777" w:rsidR="003E3F1E" w:rsidRDefault="003E3F1E" w:rsidP="00CC7F39">
            <w:pPr>
              <w:pStyle w:val="KeinLeerraum"/>
            </w:pPr>
            <w:r>
              <w:t>Machen Sie reinen Tisch.</w:t>
            </w:r>
          </w:p>
        </w:tc>
        <w:tc>
          <w:tcPr>
            <w:tcW w:w="4346" w:type="dxa"/>
            <w:shd w:val="clear" w:color="auto" w:fill="D9E2F3" w:themeFill="accent1" w:themeFillTint="33"/>
          </w:tcPr>
          <w:p w14:paraId="274BA751" w14:textId="77777777" w:rsidR="003E3F1E" w:rsidRDefault="003E3F1E" w:rsidP="003E3F1E">
            <w:pPr>
              <w:pStyle w:val="KeinLeerraum"/>
              <w:numPr>
                <w:ilvl w:val="0"/>
                <w:numId w:val="24"/>
              </w:numPr>
              <w:ind w:left="411" w:hanging="411"/>
            </w:pPr>
            <w:r>
              <w:t>Verschaffen Sie sich zunächst einen Überblick. Schauen Sie vor allem in die Ecken und Bereiche, etwa Schreibtisch, Ablagen, Schränke oder Rollcontainer, in denen Sie gerne etwas mal eben hinlegen oder stapeln.</w:t>
            </w:r>
          </w:p>
          <w:p w14:paraId="1C5E85E1" w14:textId="77777777" w:rsidR="003E3F1E" w:rsidRDefault="003E3F1E" w:rsidP="003E3F1E">
            <w:pPr>
              <w:pStyle w:val="KeinLeerraum"/>
              <w:numPr>
                <w:ilvl w:val="0"/>
                <w:numId w:val="24"/>
              </w:numPr>
              <w:ind w:left="411" w:hanging="411"/>
            </w:pPr>
            <w:r>
              <w:t>Prüfen Sie kritisch, ob noch etwas aufzubewahren ist bzw. ob es noch Relevanz für Ihre Arbeit hat.</w:t>
            </w:r>
          </w:p>
          <w:p w14:paraId="7142BCBC" w14:textId="77777777" w:rsidR="003E3F1E" w:rsidRDefault="003E3F1E" w:rsidP="003E3F1E">
            <w:pPr>
              <w:pStyle w:val="KeinLeerraum"/>
              <w:numPr>
                <w:ilvl w:val="0"/>
                <w:numId w:val="24"/>
              </w:numPr>
              <w:ind w:left="411" w:hanging="411"/>
            </w:pPr>
            <w:r>
              <w:t>Sind Sie sich bei manchem unsicher, bilden Sie einfach einen Stapel „Später entscheiden“.</w:t>
            </w:r>
          </w:p>
        </w:tc>
        <w:tc>
          <w:tcPr>
            <w:tcW w:w="1696" w:type="dxa"/>
            <w:shd w:val="clear" w:color="auto" w:fill="D9E2F3" w:themeFill="accent1" w:themeFillTint="33"/>
          </w:tcPr>
          <w:p w14:paraId="284F7AC0"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6B18FE2D" w14:textId="77777777" w:rsidTr="00CC7F39">
        <w:tc>
          <w:tcPr>
            <w:tcW w:w="3020" w:type="dxa"/>
            <w:shd w:val="clear" w:color="auto" w:fill="D9E2F3" w:themeFill="accent1" w:themeFillTint="33"/>
          </w:tcPr>
          <w:p w14:paraId="7BF3F1F6" w14:textId="77777777" w:rsidR="003E3F1E" w:rsidRDefault="003E3F1E" w:rsidP="00CC7F39">
            <w:pPr>
              <w:pStyle w:val="KeinLeerraum"/>
            </w:pPr>
            <w:r>
              <w:t>Bringen Sie Ordnung in Ihre digitalen Ablagen.</w:t>
            </w:r>
          </w:p>
        </w:tc>
        <w:tc>
          <w:tcPr>
            <w:tcW w:w="4346" w:type="dxa"/>
            <w:shd w:val="clear" w:color="auto" w:fill="D9E2F3" w:themeFill="accent1" w:themeFillTint="33"/>
          </w:tcPr>
          <w:p w14:paraId="58966613" w14:textId="77777777" w:rsidR="003E3F1E" w:rsidRDefault="003E3F1E" w:rsidP="003E3F1E">
            <w:pPr>
              <w:pStyle w:val="KeinLeerraum"/>
              <w:numPr>
                <w:ilvl w:val="0"/>
                <w:numId w:val="24"/>
              </w:numPr>
              <w:ind w:left="411" w:hanging="411"/>
            </w:pPr>
            <w:r>
              <w:t>Auch hier kann sich über die Zeit so einiges ansammeln. Prüfen Sie insbesondere Downloadordner und temporäre Ordner. Werfen Sie zudem einen Blick auf die von Ihnen genutzten Dateiablagen und Austauschordner.</w:t>
            </w:r>
          </w:p>
          <w:p w14:paraId="1CD6BC8C" w14:textId="77777777" w:rsidR="003E3F1E" w:rsidRDefault="003E3F1E" w:rsidP="003E3F1E">
            <w:pPr>
              <w:pStyle w:val="KeinLeerraum"/>
              <w:numPr>
                <w:ilvl w:val="0"/>
                <w:numId w:val="24"/>
              </w:numPr>
              <w:ind w:left="411" w:hanging="411"/>
            </w:pPr>
            <w:r>
              <w:t>Schauen Sie auch bei Ihrem Computer und Ihrem Smartphone nach dem Rechten. Bestimmt finden Sie auch hier so manches, was wegkann.</w:t>
            </w:r>
          </w:p>
        </w:tc>
        <w:tc>
          <w:tcPr>
            <w:tcW w:w="1696" w:type="dxa"/>
            <w:shd w:val="clear" w:color="auto" w:fill="D9E2F3" w:themeFill="accent1" w:themeFillTint="33"/>
          </w:tcPr>
          <w:p w14:paraId="750C11EF"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6887F2DE" w14:textId="77777777" w:rsidTr="00CC7F39">
        <w:tc>
          <w:tcPr>
            <w:tcW w:w="3020" w:type="dxa"/>
            <w:shd w:val="clear" w:color="auto" w:fill="D9E2F3" w:themeFill="accent1" w:themeFillTint="33"/>
          </w:tcPr>
          <w:p w14:paraId="38DBE408" w14:textId="77777777" w:rsidR="003E3F1E" w:rsidRDefault="003E3F1E" w:rsidP="00CC7F39">
            <w:pPr>
              <w:pStyle w:val="KeinLeerraum"/>
            </w:pPr>
            <w:r>
              <w:t>Auch im Homeoffice sollte alles auf Vordermann sein.</w:t>
            </w:r>
          </w:p>
        </w:tc>
        <w:tc>
          <w:tcPr>
            <w:tcW w:w="4346" w:type="dxa"/>
            <w:shd w:val="clear" w:color="auto" w:fill="D9E2F3" w:themeFill="accent1" w:themeFillTint="33"/>
          </w:tcPr>
          <w:p w14:paraId="66C7DF18" w14:textId="77777777" w:rsidR="003E3F1E" w:rsidRDefault="003E3F1E" w:rsidP="003E3F1E">
            <w:pPr>
              <w:pStyle w:val="KeinLeerraum"/>
              <w:numPr>
                <w:ilvl w:val="0"/>
                <w:numId w:val="24"/>
              </w:numPr>
              <w:ind w:left="411" w:hanging="411"/>
            </w:pPr>
            <w:r>
              <w:t>Arbeiten Sie vom heimischen Arbeitsplatz aus, sind die Anforderungen an Datenschutz und Datensicherheit dennoch die gleichen wie im Büro. Prüfen Sie kritisch Unterlagen und Ablagen.</w:t>
            </w:r>
          </w:p>
          <w:p w14:paraId="1CC693E8" w14:textId="77777777" w:rsidR="003E3F1E" w:rsidRDefault="003E3F1E" w:rsidP="003E3F1E">
            <w:pPr>
              <w:pStyle w:val="KeinLeerraum"/>
              <w:numPr>
                <w:ilvl w:val="0"/>
                <w:numId w:val="24"/>
              </w:numPr>
              <w:ind w:left="411" w:hanging="411"/>
            </w:pPr>
            <w:r>
              <w:t>Finden Sie etwa Unterlagen, die zu entsorgen sind, machen Sie das am besten im Unternehmen. Nutzen Sie die dafür bereitstehenden Entsorgungstonnen. So ist eine sichere Entsorgung gewährleistet.</w:t>
            </w:r>
          </w:p>
        </w:tc>
        <w:tc>
          <w:tcPr>
            <w:tcW w:w="1696" w:type="dxa"/>
            <w:shd w:val="clear" w:color="auto" w:fill="D9E2F3" w:themeFill="accent1" w:themeFillTint="33"/>
          </w:tcPr>
          <w:p w14:paraId="0924EC3F" w14:textId="77777777" w:rsidR="003E3F1E" w:rsidRPr="00003904"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62CB8524" w14:textId="77777777" w:rsidTr="00CC7F39">
        <w:tc>
          <w:tcPr>
            <w:tcW w:w="3020" w:type="dxa"/>
            <w:shd w:val="clear" w:color="auto" w:fill="D9E2F3" w:themeFill="accent1" w:themeFillTint="33"/>
          </w:tcPr>
          <w:p w14:paraId="427D2184" w14:textId="77777777" w:rsidR="003E3F1E" w:rsidRDefault="003E3F1E" w:rsidP="00CC7F39">
            <w:pPr>
              <w:pStyle w:val="KeinLeerraum"/>
            </w:pPr>
            <w:r>
              <w:t>Machen Sie im Postfach klar Schiff.</w:t>
            </w:r>
          </w:p>
        </w:tc>
        <w:tc>
          <w:tcPr>
            <w:tcW w:w="4346" w:type="dxa"/>
            <w:shd w:val="clear" w:color="auto" w:fill="D9E2F3" w:themeFill="accent1" w:themeFillTint="33"/>
          </w:tcPr>
          <w:p w14:paraId="557B89E3" w14:textId="77777777" w:rsidR="003E3F1E" w:rsidRDefault="003E3F1E" w:rsidP="003E3F1E">
            <w:pPr>
              <w:pStyle w:val="KeinLeerraum"/>
              <w:numPr>
                <w:ilvl w:val="0"/>
                <w:numId w:val="25"/>
              </w:numPr>
            </w:pPr>
            <w:r>
              <w:t>Nehmen Sie Ihr Postfach unter die Lupe. Wie bei vielen Menschen hat sich da wahrscheinlich so manches angehäuft. Was nicht mehr gebraucht wird und nicht aufbewahrt werden muss, sollten Sie löschen.</w:t>
            </w:r>
          </w:p>
          <w:p w14:paraId="7F65A77F" w14:textId="77777777" w:rsidR="003E3F1E" w:rsidRDefault="003E3F1E" w:rsidP="003E3F1E">
            <w:pPr>
              <w:pStyle w:val="KeinLeerraum"/>
              <w:numPr>
                <w:ilvl w:val="0"/>
                <w:numId w:val="25"/>
              </w:numPr>
            </w:pPr>
            <w:r>
              <w:t xml:space="preserve">Ist etwas aufzubewahren oder noch für die Arbeit von Bedeutung, speichern Sie das dort, wo es </w:t>
            </w:r>
            <w:r w:rsidRPr="00BE35E5">
              <w:t>gemäß interne</w:t>
            </w:r>
            <w:r>
              <w:t>n</w:t>
            </w:r>
            <w:r w:rsidRPr="00BE35E5">
              <w:t xml:space="preserve"> Festlegungen</w:t>
            </w:r>
            <w:r>
              <w:t xml:space="preserve"> hingehört. </w:t>
            </w:r>
          </w:p>
        </w:tc>
        <w:tc>
          <w:tcPr>
            <w:tcW w:w="1696" w:type="dxa"/>
            <w:shd w:val="clear" w:color="auto" w:fill="D9E2F3" w:themeFill="accent1" w:themeFillTint="33"/>
          </w:tcPr>
          <w:p w14:paraId="79D7B1C3"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5286D5AE" w14:textId="77777777" w:rsidTr="00CC7F39">
        <w:tc>
          <w:tcPr>
            <w:tcW w:w="3020" w:type="dxa"/>
            <w:shd w:val="clear" w:color="auto" w:fill="D9E2F3" w:themeFill="accent1" w:themeFillTint="33"/>
          </w:tcPr>
          <w:p w14:paraId="34BFA74C" w14:textId="77777777" w:rsidR="003E3F1E" w:rsidRDefault="003E3F1E" w:rsidP="00CC7F39">
            <w:pPr>
              <w:pStyle w:val="KeinLeerraum"/>
            </w:pPr>
            <w:r>
              <w:t>Sortieren Sie alles an seinen Platz.</w:t>
            </w:r>
          </w:p>
        </w:tc>
        <w:tc>
          <w:tcPr>
            <w:tcW w:w="4346" w:type="dxa"/>
            <w:shd w:val="clear" w:color="auto" w:fill="D9E2F3" w:themeFill="accent1" w:themeFillTint="33"/>
          </w:tcPr>
          <w:p w14:paraId="3781D3B2" w14:textId="77777777" w:rsidR="003E3F1E" w:rsidRDefault="003E3F1E" w:rsidP="003E3F1E">
            <w:pPr>
              <w:pStyle w:val="KeinLeerraum"/>
              <w:numPr>
                <w:ilvl w:val="0"/>
                <w:numId w:val="26"/>
              </w:numPr>
            </w:pPr>
            <w:r>
              <w:t>Prüfen Sie stichprobenartig, ob Sie unterjährig richtig sortiert haben. Eventuell sind Dateien oder Unterlagen falsch eingeordnet, was unter Umständen ein Wiederfinden unmöglich oder zumindest schwierig macht.</w:t>
            </w:r>
          </w:p>
          <w:p w14:paraId="0AA31947" w14:textId="77777777" w:rsidR="003E3F1E" w:rsidRDefault="003E3F1E" w:rsidP="003E3F1E">
            <w:pPr>
              <w:pStyle w:val="KeinLeerraum"/>
              <w:numPr>
                <w:ilvl w:val="0"/>
                <w:numId w:val="26"/>
              </w:numPr>
            </w:pPr>
            <w:r>
              <w:t>Ein „Das haben wir immer so gemacht“ ist oft die Bremse schlechthin, wenn es um Innovation und Fortschritt geht. Auch was die Ablage von Informationen betrifft, können Verbesserungen das Leben leichter machen. Gehen Sie diese an.</w:t>
            </w:r>
          </w:p>
        </w:tc>
        <w:tc>
          <w:tcPr>
            <w:tcW w:w="1696" w:type="dxa"/>
            <w:shd w:val="clear" w:color="auto" w:fill="D9E2F3" w:themeFill="accent1" w:themeFillTint="33"/>
          </w:tcPr>
          <w:p w14:paraId="2E0D6274"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53556DC1" w14:textId="77777777" w:rsidTr="00CC7F39">
        <w:tc>
          <w:tcPr>
            <w:tcW w:w="3020" w:type="dxa"/>
            <w:shd w:val="clear" w:color="auto" w:fill="D9E2F3" w:themeFill="accent1" w:themeFillTint="33"/>
          </w:tcPr>
          <w:p w14:paraId="19C05060" w14:textId="77777777" w:rsidR="003E3F1E" w:rsidRDefault="003E3F1E" w:rsidP="00CC7F39">
            <w:pPr>
              <w:pStyle w:val="KeinLeerraum"/>
            </w:pPr>
            <w:r>
              <w:t>Greifen Sie zum Schrubber bei Berechtigungen.</w:t>
            </w:r>
          </w:p>
        </w:tc>
        <w:tc>
          <w:tcPr>
            <w:tcW w:w="4346" w:type="dxa"/>
            <w:shd w:val="clear" w:color="auto" w:fill="D9E2F3" w:themeFill="accent1" w:themeFillTint="33"/>
          </w:tcPr>
          <w:p w14:paraId="01D83664" w14:textId="77777777" w:rsidR="003E3F1E" w:rsidRDefault="003E3F1E" w:rsidP="003E3F1E">
            <w:pPr>
              <w:pStyle w:val="KeinLeerraum"/>
              <w:numPr>
                <w:ilvl w:val="0"/>
                <w:numId w:val="27"/>
              </w:numPr>
            </w:pPr>
            <w:r>
              <w:t xml:space="preserve">Schauen Sie nach Berechtigungen, die Sie haben oder die Sie verantworten. Gibt es sensible oder kritische Berechtigungen, </w:t>
            </w:r>
            <w:r>
              <w:lastRenderedPageBreak/>
              <w:t>sollten Sie hier zuerst einen Blick auf die Sache werfen.</w:t>
            </w:r>
          </w:p>
          <w:p w14:paraId="5EAB40B1" w14:textId="77777777" w:rsidR="003E3F1E" w:rsidRDefault="003E3F1E" w:rsidP="003E3F1E">
            <w:pPr>
              <w:pStyle w:val="KeinLeerraum"/>
              <w:numPr>
                <w:ilvl w:val="0"/>
                <w:numId w:val="27"/>
              </w:numPr>
            </w:pPr>
            <w:r>
              <w:t>Prüfen Sie, inwieweit die Erforderlichkeit für Sie oder andere Berechtigte noch gegeben ist. Soweit erforderlich lassen Sie Berechtigungen entziehen oder anpassen.</w:t>
            </w:r>
          </w:p>
        </w:tc>
        <w:tc>
          <w:tcPr>
            <w:tcW w:w="1696" w:type="dxa"/>
            <w:shd w:val="clear" w:color="auto" w:fill="D9E2F3" w:themeFill="accent1" w:themeFillTint="33"/>
          </w:tcPr>
          <w:p w14:paraId="6ADDA024" w14:textId="77777777" w:rsidR="003E3F1E" w:rsidRDefault="003E3F1E" w:rsidP="00CC7F39">
            <w:pPr>
              <w:pStyle w:val="KeinLeerraum"/>
            </w:pPr>
            <w:r w:rsidRPr="00003904">
              <w:lastRenderedPageBreak/>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29188894" w14:textId="77777777" w:rsidTr="00CC7F39">
        <w:tc>
          <w:tcPr>
            <w:tcW w:w="3020" w:type="dxa"/>
            <w:shd w:val="clear" w:color="auto" w:fill="D9E2F3" w:themeFill="accent1" w:themeFillTint="33"/>
          </w:tcPr>
          <w:p w14:paraId="0F605584" w14:textId="77777777" w:rsidR="003E3F1E" w:rsidRDefault="003E3F1E" w:rsidP="00CC7F39">
            <w:pPr>
              <w:pStyle w:val="KeinLeerraum"/>
            </w:pPr>
            <w:r>
              <w:t>Geben Sie Ihren Benutzerkonten neuen Glanz.</w:t>
            </w:r>
          </w:p>
        </w:tc>
        <w:tc>
          <w:tcPr>
            <w:tcW w:w="4346" w:type="dxa"/>
            <w:shd w:val="clear" w:color="auto" w:fill="D9E2F3" w:themeFill="accent1" w:themeFillTint="33"/>
          </w:tcPr>
          <w:p w14:paraId="7DBD589B" w14:textId="77777777" w:rsidR="003E3F1E" w:rsidRDefault="003E3F1E" w:rsidP="003E3F1E">
            <w:pPr>
              <w:pStyle w:val="KeinLeerraum"/>
              <w:numPr>
                <w:ilvl w:val="0"/>
                <w:numId w:val="28"/>
              </w:numPr>
            </w:pPr>
            <w:r>
              <w:t>Klären Sie, ob es nicht mehr erforderliche Benutzerkonten gibt. Das kann Sie betreffen, aber auch Beschäftigte, die das Unternehmen verlassen haben oder die in eine andere Abteilung gewechselt sind.</w:t>
            </w:r>
          </w:p>
          <w:p w14:paraId="63FD203A" w14:textId="77777777" w:rsidR="003E3F1E" w:rsidRDefault="003E3F1E" w:rsidP="003E3F1E">
            <w:pPr>
              <w:pStyle w:val="KeinLeerraum"/>
              <w:numPr>
                <w:ilvl w:val="0"/>
                <w:numId w:val="28"/>
              </w:numPr>
            </w:pPr>
            <w:r>
              <w:t>Denken Sie auch an Passwörter. Schauen Sie nach zu einfachen Passwörtern und ersetzen Sie diese durch ausreichend komplexe Passwörter.</w:t>
            </w:r>
          </w:p>
          <w:p w14:paraId="00CA3CE5" w14:textId="77777777" w:rsidR="003E3F1E" w:rsidRDefault="003E3F1E" w:rsidP="003E3F1E">
            <w:pPr>
              <w:pStyle w:val="KeinLeerraum"/>
              <w:numPr>
                <w:ilvl w:val="0"/>
                <w:numId w:val="28"/>
              </w:numPr>
            </w:pPr>
            <w:r>
              <w:t>Falls noch nicht geschehen: Verwalten Sie Ihre Passwörter mit einem Passwortmanager. Der einmalige Aufwand für den Wechsel lohnt sich. Informationen zur Software finden Sie auf der Intranetseite der IT-Abteilung unter „Software – Arbeitsplatz“.</w:t>
            </w:r>
          </w:p>
        </w:tc>
        <w:tc>
          <w:tcPr>
            <w:tcW w:w="1696" w:type="dxa"/>
            <w:shd w:val="clear" w:color="auto" w:fill="D9E2F3" w:themeFill="accent1" w:themeFillTint="33"/>
          </w:tcPr>
          <w:p w14:paraId="698EDF47"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68194E64" w14:textId="77777777" w:rsidTr="00CC7F39">
        <w:tc>
          <w:tcPr>
            <w:tcW w:w="3020" w:type="dxa"/>
            <w:shd w:val="clear" w:color="auto" w:fill="D9E2F3" w:themeFill="accent1" w:themeFillTint="33"/>
          </w:tcPr>
          <w:p w14:paraId="2D3C5648" w14:textId="77777777" w:rsidR="003E3F1E" w:rsidRDefault="003E3F1E" w:rsidP="00CC7F39">
            <w:pPr>
              <w:pStyle w:val="KeinLeerraum"/>
            </w:pPr>
            <w:r>
              <w:t>Werfen Sie Abgelaufenes weg.</w:t>
            </w:r>
          </w:p>
        </w:tc>
        <w:tc>
          <w:tcPr>
            <w:tcW w:w="4346" w:type="dxa"/>
            <w:shd w:val="clear" w:color="auto" w:fill="D9E2F3" w:themeFill="accent1" w:themeFillTint="33"/>
          </w:tcPr>
          <w:p w14:paraId="7EC6CAB0" w14:textId="77777777" w:rsidR="003E3F1E" w:rsidRDefault="003E3F1E" w:rsidP="003E3F1E">
            <w:pPr>
              <w:pStyle w:val="KeinLeerraum"/>
              <w:numPr>
                <w:ilvl w:val="0"/>
                <w:numId w:val="29"/>
              </w:numPr>
            </w:pPr>
            <w:r>
              <w:t>Gerade beim Ausmisten von Unterlagen ist wichtig: Was nicht mehr aufzubewahren ist und was keine Bedeutung mehr für die Arbeit hat, sollte entsorgt werden. Achten Sie hier auf datenschutzkonformes Entsorgen.</w:t>
            </w:r>
          </w:p>
          <w:p w14:paraId="2B5ACD88" w14:textId="77777777" w:rsidR="003E3F1E" w:rsidRDefault="003E3F1E" w:rsidP="003E3F1E">
            <w:pPr>
              <w:pStyle w:val="KeinLeerraum"/>
              <w:numPr>
                <w:ilvl w:val="0"/>
                <w:numId w:val="29"/>
              </w:numPr>
            </w:pPr>
            <w:r>
              <w:t>Bei Unterlagen nutzen Sie bitte die Datenschutztonnen in Ihrem Bereich. Digitales löschen Sie ebenfalls datenschutzkonform. Hilfestellung und die passende Software stellen die IT-Abteilung zur Verfügung.</w:t>
            </w:r>
          </w:p>
        </w:tc>
        <w:tc>
          <w:tcPr>
            <w:tcW w:w="1696" w:type="dxa"/>
            <w:shd w:val="clear" w:color="auto" w:fill="D9E2F3" w:themeFill="accent1" w:themeFillTint="33"/>
          </w:tcPr>
          <w:p w14:paraId="558B9D2B"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4CAEA2D3" w14:textId="77777777" w:rsidTr="00CC7F39">
        <w:tc>
          <w:tcPr>
            <w:tcW w:w="3020" w:type="dxa"/>
            <w:shd w:val="clear" w:color="auto" w:fill="D9E2F3" w:themeFill="accent1" w:themeFillTint="33"/>
          </w:tcPr>
          <w:p w14:paraId="2DE12F04" w14:textId="77777777" w:rsidR="003E3F1E" w:rsidRDefault="003E3F1E" w:rsidP="00CC7F39">
            <w:pPr>
              <w:pStyle w:val="KeinLeerraum"/>
            </w:pPr>
            <w:r>
              <w:t>Schicken Sie Schrott auf den Müll.</w:t>
            </w:r>
          </w:p>
        </w:tc>
        <w:tc>
          <w:tcPr>
            <w:tcW w:w="4346" w:type="dxa"/>
            <w:shd w:val="clear" w:color="auto" w:fill="D9E2F3" w:themeFill="accent1" w:themeFillTint="33"/>
          </w:tcPr>
          <w:p w14:paraId="32D57A61" w14:textId="77777777" w:rsidR="003E3F1E" w:rsidRDefault="003E3F1E" w:rsidP="003E3F1E">
            <w:pPr>
              <w:pStyle w:val="KeinLeerraum"/>
              <w:numPr>
                <w:ilvl w:val="0"/>
                <w:numId w:val="30"/>
              </w:numPr>
            </w:pPr>
            <w:r>
              <w:t>Oft werden alte Geräte oder Datenträger aufbewahrt, auch wenn sie nicht mehr brauch- oder nutzbar sind. Hier gilt: Entsorgen Sie den Schrott! Achten Sie aber auf den Datenschutz. Nichts darf in falsche Hände geraten.</w:t>
            </w:r>
          </w:p>
          <w:p w14:paraId="42C4B17B" w14:textId="77777777" w:rsidR="003E3F1E" w:rsidRDefault="003E3F1E" w:rsidP="003E3F1E">
            <w:pPr>
              <w:pStyle w:val="KeinLeerraum"/>
              <w:numPr>
                <w:ilvl w:val="0"/>
                <w:numId w:val="30"/>
              </w:numPr>
            </w:pPr>
            <w:r>
              <w:t>Löschen ist auch hier oberstes Gebot. Wie das am besten funktioniert, stimmen Sie am besten mit der IT-Abteilung ab. Gerade bei schützenswerten Inhalten und Informationen muss eine Wiederherstellung ausgeschlossen sein.</w:t>
            </w:r>
          </w:p>
        </w:tc>
        <w:tc>
          <w:tcPr>
            <w:tcW w:w="1696" w:type="dxa"/>
            <w:shd w:val="clear" w:color="auto" w:fill="D9E2F3" w:themeFill="accent1" w:themeFillTint="33"/>
          </w:tcPr>
          <w:p w14:paraId="0ED99826"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r w:rsidR="003E3F1E" w14:paraId="3303C7BD" w14:textId="77777777" w:rsidTr="00CC7F39">
        <w:tc>
          <w:tcPr>
            <w:tcW w:w="3020" w:type="dxa"/>
            <w:shd w:val="clear" w:color="auto" w:fill="D9E2F3" w:themeFill="accent1" w:themeFillTint="33"/>
          </w:tcPr>
          <w:p w14:paraId="62A95B42" w14:textId="77777777" w:rsidR="003E3F1E" w:rsidRDefault="003E3F1E" w:rsidP="00CC7F39">
            <w:pPr>
              <w:pStyle w:val="KeinLeerraum"/>
            </w:pPr>
            <w:r>
              <w:t>Machen Sie monatliche Putzaktionen zum Standard.</w:t>
            </w:r>
          </w:p>
        </w:tc>
        <w:tc>
          <w:tcPr>
            <w:tcW w:w="4346" w:type="dxa"/>
            <w:shd w:val="clear" w:color="auto" w:fill="D9E2F3" w:themeFill="accent1" w:themeFillTint="33"/>
          </w:tcPr>
          <w:p w14:paraId="161ECE51" w14:textId="77777777" w:rsidR="003E3F1E" w:rsidRDefault="003E3F1E" w:rsidP="003E3F1E">
            <w:pPr>
              <w:pStyle w:val="KeinLeerraum"/>
              <w:numPr>
                <w:ilvl w:val="0"/>
                <w:numId w:val="31"/>
              </w:numPr>
            </w:pPr>
            <w:r>
              <w:t xml:space="preserve">Finden Sie </w:t>
            </w:r>
            <w:r w:rsidRPr="00BE35E5">
              <w:t>Aufräumen</w:t>
            </w:r>
            <w:r>
              <w:t xml:space="preserve"> und Putzen nervig? Dann machen Sie das am besten häppchenweise. Machen Sie diese Woche dies und nächste Woche das. So bleibt der „</w:t>
            </w:r>
            <w:proofErr w:type="spellStart"/>
            <w:r>
              <w:t>Nervfaktor</w:t>
            </w:r>
            <w:proofErr w:type="spellEnd"/>
            <w:r>
              <w:t xml:space="preserve">“ klein. </w:t>
            </w:r>
          </w:p>
          <w:p w14:paraId="36DDBD03" w14:textId="77777777" w:rsidR="003E3F1E" w:rsidRDefault="003E3F1E" w:rsidP="003E3F1E">
            <w:pPr>
              <w:pStyle w:val="KeinLeerraum"/>
              <w:numPr>
                <w:ilvl w:val="0"/>
                <w:numId w:val="31"/>
              </w:numPr>
            </w:pPr>
            <w:r>
              <w:t>Damit sich später keine Berge anhäufen und Sie viel Arbeit haben, können Sie sich Regeltermine einrichten. Dann werden Sie etwa am letzten Freitag im Monat daran erinnert, sich um das Postfach zu kümmern.</w:t>
            </w:r>
          </w:p>
        </w:tc>
        <w:tc>
          <w:tcPr>
            <w:tcW w:w="1696" w:type="dxa"/>
            <w:shd w:val="clear" w:color="auto" w:fill="D9E2F3" w:themeFill="accent1" w:themeFillTint="33"/>
          </w:tcPr>
          <w:p w14:paraId="73A8EFC8" w14:textId="77777777" w:rsidR="003E3F1E" w:rsidRDefault="003E3F1E" w:rsidP="00CC7F39">
            <w:pPr>
              <w:pStyle w:val="KeinLeerraum"/>
            </w:pPr>
            <w:r w:rsidRPr="00003904">
              <w:fldChar w:fldCharType="begin">
                <w:ffData>
                  <w:name w:val="Kontrollkästchen1"/>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Ja </w:t>
            </w:r>
            <w:r w:rsidRPr="00003904">
              <w:fldChar w:fldCharType="begin">
                <w:ffData>
                  <w:name w:val="Kontrollkästchen2"/>
                  <w:enabled/>
                  <w:calcOnExit w:val="0"/>
                  <w:checkBox>
                    <w:sizeAuto/>
                    <w:default w:val="0"/>
                  </w:checkBox>
                </w:ffData>
              </w:fldChar>
            </w:r>
            <w:r w:rsidRPr="00003904">
              <w:instrText xml:space="preserve"> FORMCHECKBOX </w:instrText>
            </w:r>
            <w:r>
              <w:fldChar w:fldCharType="separate"/>
            </w:r>
            <w:r w:rsidRPr="00003904">
              <w:fldChar w:fldCharType="end"/>
            </w:r>
            <w:r w:rsidRPr="00003904">
              <w:t xml:space="preserve"> Nein</w:t>
            </w:r>
          </w:p>
        </w:tc>
      </w:tr>
    </w:tbl>
    <w:p w14:paraId="33126FB5" w14:textId="77777777" w:rsidR="003E3F1E" w:rsidRDefault="003E3F1E" w:rsidP="003E3F1E">
      <w:pPr>
        <w:pStyle w:val="KeinLeerraum"/>
        <w:shd w:val="clear" w:color="auto" w:fill="D9E2F3" w:themeFill="accent1" w:themeFillTint="33"/>
      </w:pPr>
    </w:p>
    <w:p w14:paraId="6554489F" w14:textId="77777777" w:rsidR="003E3F1E" w:rsidRDefault="003E3F1E" w:rsidP="003E3F1E"/>
    <w:p w14:paraId="7AA8077B" w14:textId="77777777" w:rsidR="00300DC4" w:rsidRPr="0079027C" w:rsidRDefault="00300DC4" w:rsidP="003E3F1E">
      <w:pPr>
        <w:pStyle w:val="KeinLeerraum"/>
        <w:shd w:val="clear" w:color="auto" w:fill="D9E2F3" w:themeFill="accent1" w:themeFillTint="33"/>
      </w:pPr>
    </w:p>
    <w:sectPr w:rsidR="00300DC4" w:rsidRPr="0079027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5721" w14:textId="77777777" w:rsidR="00651E4C" w:rsidRDefault="00651E4C" w:rsidP="00CC2216">
      <w:r>
        <w:separator/>
      </w:r>
    </w:p>
  </w:endnote>
  <w:endnote w:type="continuationSeparator" w:id="0">
    <w:p w14:paraId="19259C5B" w14:textId="77777777" w:rsidR="00651E4C" w:rsidRDefault="00651E4C"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BlackC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CF17" w14:textId="77777777" w:rsidR="00651E4C" w:rsidRDefault="00651E4C" w:rsidP="00CC2216">
      <w:r>
        <w:separator/>
      </w:r>
    </w:p>
  </w:footnote>
  <w:footnote w:type="continuationSeparator" w:id="0">
    <w:p w14:paraId="79721ADA" w14:textId="77777777" w:rsidR="00651E4C" w:rsidRDefault="00651E4C"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72AEA"/>
    <w:multiLevelType w:val="hybridMultilevel"/>
    <w:tmpl w:val="041E4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4E3ED9"/>
    <w:multiLevelType w:val="hybridMultilevel"/>
    <w:tmpl w:val="897CD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6A379E"/>
    <w:multiLevelType w:val="hybridMultilevel"/>
    <w:tmpl w:val="D5B4E9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54E414E"/>
    <w:multiLevelType w:val="hybridMultilevel"/>
    <w:tmpl w:val="0128D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6B3CB3"/>
    <w:multiLevelType w:val="hybridMultilevel"/>
    <w:tmpl w:val="D6FE84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076467"/>
    <w:multiLevelType w:val="hybridMultilevel"/>
    <w:tmpl w:val="2CFC3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0997ACE"/>
    <w:multiLevelType w:val="hybridMultilevel"/>
    <w:tmpl w:val="F58A4A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6893009"/>
    <w:multiLevelType w:val="hybridMultilevel"/>
    <w:tmpl w:val="996C3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68732E"/>
    <w:multiLevelType w:val="hybridMultilevel"/>
    <w:tmpl w:val="F77E5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A34742A"/>
    <w:multiLevelType w:val="hybridMultilevel"/>
    <w:tmpl w:val="83141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FCA4FE8"/>
    <w:multiLevelType w:val="hybridMultilevel"/>
    <w:tmpl w:val="803011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8201C62"/>
    <w:multiLevelType w:val="hybridMultilevel"/>
    <w:tmpl w:val="0EA07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853BDB"/>
    <w:multiLevelType w:val="hybridMultilevel"/>
    <w:tmpl w:val="F6769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BBA3349"/>
    <w:multiLevelType w:val="hybridMultilevel"/>
    <w:tmpl w:val="68B2D1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90016F"/>
    <w:multiLevelType w:val="hybridMultilevel"/>
    <w:tmpl w:val="4EF45F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B044730"/>
    <w:multiLevelType w:val="hybridMultilevel"/>
    <w:tmpl w:val="7CA2F0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D810583"/>
    <w:multiLevelType w:val="hybridMultilevel"/>
    <w:tmpl w:val="511872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21"/>
  </w:num>
  <w:num w:numId="4">
    <w:abstractNumId w:val="29"/>
  </w:num>
  <w:num w:numId="5">
    <w:abstractNumId w:val="9"/>
  </w:num>
  <w:num w:numId="6">
    <w:abstractNumId w:val="12"/>
  </w:num>
  <w:num w:numId="7">
    <w:abstractNumId w:val="26"/>
  </w:num>
  <w:num w:numId="8">
    <w:abstractNumId w:val="5"/>
  </w:num>
  <w:num w:numId="9">
    <w:abstractNumId w:val="18"/>
  </w:num>
  <w:num w:numId="10">
    <w:abstractNumId w:val="11"/>
  </w:num>
  <w:num w:numId="11">
    <w:abstractNumId w:val="28"/>
  </w:num>
  <w:num w:numId="12">
    <w:abstractNumId w:val="16"/>
  </w:num>
  <w:num w:numId="13">
    <w:abstractNumId w:val="7"/>
  </w:num>
  <w:num w:numId="14">
    <w:abstractNumId w:val="8"/>
  </w:num>
  <w:num w:numId="15">
    <w:abstractNumId w:val="4"/>
  </w:num>
  <w:num w:numId="16">
    <w:abstractNumId w:val="2"/>
  </w:num>
  <w:num w:numId="17">
    <w:abstractNumId w:val="22"/>
  </w:num>
  <w:num w:numId="18">
    <w:abstractNumId w:val="1"/>
  </w:num>
  <w:num w:numId="19">
    <w:abstractNumId w:val="3"/>
  </w:num>
  <w:num w:numId="20">
    <w:abstractNumId w:val="14"/>
  </w:num>
  <w:num w:numId="21">
    <w:abstractNumId w:val="20"/>
  </w:num>
  <w:num w:numId="22">
    <w:abstractNumId w:val="6"/>
  </w:num>
  <w:num w:numId="23">
    <w:abstractNumId w:val="30"/>
  </w:num>
  <w:num w:numId="24">
    <w:abstractNumId w:val="15"/>
  </w:num>
  <w:num w:numId="25">
    <w:abstractNumId w:val="19"/>
  </w:num>
  <w:num w:numId="26">
    <w:abstractNumId w:val="24"/>
  </w:num>
  <w:num w:numId="27">
    <w:abstractNumId w:val="10"/>
  </w:num>
  <w:num w:numId="28">
    <w:abstractNumId w:val="17"/>
  </w:num>
  <w:num w:numId="29">
    <w:abstractNumId w:val="25"/>
  </w:num>
  <w:num w:numId="30">
    <w:abstractNumId w:val="23"/>
  </w:num>
  <w:num w:numId="3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D062A"/>
    <w:rsid w:val="003E3F1E"/>
    <w:rsid w:val="003E47CA"/>
    <w:rsid w:val="003E52CE"/>
    <w:rsid w:val="00432E27"/>
    <w:rsid w:val="0044072D"/>
    <w:rsid w:val="0045191E"/>
    <w:rsid w:val="0045281F"/>
    <w:rsid w:val="004C79F3"/>
    <w:rsid w:val="005105F0"/>
    <w:rsid w:val="00510962"/>
    <w:rsid w:val="00525077"/>
    <w:rsid w:val="005717AA"/>
    <w:rsid w:val="005A6A71"/>
    <w:rsid w:val="005C5465"/>
    <w:rsid w:val="006251E4"/>
    <w:rsid w:val="00651E4C"/>
    <w:rsid w:val="00696A56"/>
    <w:rsid w:val="0072310B"/>
    <w:rsid w:val="0079027C"/>
    <w:rsid w:val="007A004E"/>
    <w:rsid w:val="007E15BB"/>
    <w:rsid w:val="00996806"/>
    <w:rsid w:val="00AB25D6"/>
    <w:rsid w:val="00AC39D5"/>
    <w:rsid w:val="00B367BE"/>
    <w:rsid w:val="00B77FBA"/>
    <w:rsid w:val="00BB0D08"/>
    <w:rsid w:val="00BE0F4E"/>
    <w:rsid w:val="00C863DD"/>
    <w:rsid w:val="00CA2D6D"/>
    <w:rsid w:val="00CB13B2"/>
    <w:rsid w:val="00CC2216"/>
    <w:rsid w:val="00D17A03"/>
    <w:rsid w:val="00D66349"/>
    <w:rsid w:val="00DC69D7"/>
    <w:rsid w:val="00ED1004"/>
    <w:rsid w:val="00ED7B89"/>
    <w:rsid w:val="00FB5724"/>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2026-03-03T08:36:00Z</dcterms:created>
  <dcterms:modified xsi:type="dcterms:W3CDTF">2026-03-03T08:36:00Z</dcterms:modified>
</cp:coreProperties>
</file>