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EA03C" w14:textId="77777777" w:rsidR="005713BA" w:rsidRDefault="005713BA" w:rsidP="005713BA">
      <w:pPr>
        <w:pStyle w:val="KeinLeerraum"/>
        <w:rPr>
          <w:b/>
          <w:bCs/>
        </w:rPr>
      </w:pPr>
      <w:r>
        <w:rPr>
          <w:b/>
          <w:bCs/>
        </w:rPr>
        <w:t xml:space="preserve">Checkliste: </w:t>
      </w:r>
      <w:bookmarkStart w:id="0" w:name="_GoBack"/>
      <w:r>
        <w:rPr>
          <w:b/>
          <w:bCs/>
        </w:rPr>
        <w:t>Standardfälle leichter erledigen</w:t>
      </w:r>
    </w:p>
    <w:bookmarkEnd w:id="0"/>
    <w:p w14:paraId="691601D3" w14:textId="77777777" w:rsidR="005713BA" w:rsidRDefault="005713BA" w:rsidP="005713BA">
      <w:pPr>
        <w:pStyle w:val="KeinLeerraum"/>
      </w:pPr>
    </w:p>
    <w:tbl>
      <w:tblPr>
        <w:tblStyle w:val="Tabellenraster"/>
        <w:tblW w:w="0" w:type="auto"/>
        <w:tblLook w:val="04A0" w:firstRow="1" w:lastRow="0" w:firstColumn="1" w:lastColumn="0" w:noHBand="0" w:noVBand="1"/>
      </w:tblPr>
      <w:tblGrid>
        <w:gridCol w:w="2547"/>
        <w:gridCol w:w="4961"/>
        <w:gridCol w:w="1554"/>
      </w:tblGrid>
      <w:tr w:rsidR="005713BA" w14:paraId="553879F4" w14:textId="77777777" w:rsidTr="005713BA">
        <w:tc>
          <w:tcPr>
            <w:tcW w:w="2547" w:type="dxa"/>
            <w:tcBorders>
              <w:top w:val="single" w:sz="4" w:space="0" w:color="auto"/>
              <w:left w:val="single" w:sz="4" w:space="0" w:color="auto"/>
              <w:bottom w:val="single" w:sz="4" w:space="0" w:color="auto"/>
              <w:right w:val="single" w:sz="4" w:space="0" w:color="auto"/>
            </w:tcBorders>
            <w:hideMark/>
          </w:tcPr>
          <w:p w14:paraId="0C50E84D" w14:textId="77777777" w:rsidR="005713BA" w:rsidRDefault="005713BA">
            <w:pPr>
              <w:pStyle w:val="KeinLeerraum"/>
              <w:rPr>
                <w:b/>
                <w:bCs/>
              </w:rPr>
            </w:pPr>
            <w:r>
              <w:rPr>
                <w:b/>
                <w:bCs/>
              </w:rPr>
              <w:t>Das sollten Sie klären</w:t>
            </w:r>
          </w:p>
        </w:tc>
        <w:tc>
          <w:tcPr>
            <w:tcW w:w="4961" w:type="dxa"/>
            <w:tcBorders>
              <w:top w:val="single" w:sz="4" w:space="0" w:color="auto"/>
              <w:left w:val="single" w:sz="4" w:space="0" w:color="auto"/>
              <w:bottom w:val="single" w:sz="4" w:space="0" w:color="auto"/>
              <w:right w:val="single" w:sz="4" w:space="0" w:color="auto"/>
            </w:tcBorders>
            <w:hideMark/>
          </w:tcPr>
          <w:p w14:paraId="16EC93FD" w14:textId="77777777" w:rsidR="005713BA" w:rsidRDefault="005713BA">
            <w:pPr>
              <w:pStyle w:val="KeinLeerraum"/>
              <w:rPr>
                <w:b/>
                <w:bCs/>
              </w:rPr>
            </w:pPr>
            <w:r>
              <w:rPr>
                <w:b/>
                <w:bCs/>
              </w:rPr>
              <w:t>Das ist wichtig</w:t>
            </w:r>
          </w:p>
        </w:tc>
        <w:tc>
          <w:tcPr>
            <w:tcW w:w="1554" w:type="dxa"/>
            <w:tcBorders>
              <w:top w:val="single" w:sz="4" w:space="0" w:color="auto"/>
              <w:left w:val="single" w:sz="4" w:space="0" w:color="auto"/>
              <w:bottom w:val="single" w:sz="4" w:space="0" w:color="auto"/>
              <w:right w:val="single" w:sz="4" w:space="0" w:color="auto"/>
            </w:tcBorders>
            <w:hideMark/>
          </w:tcPr>
          <w:p w14:paraId="0CF6055D" w14:textId="77777777" w:rsidR="005713BA" w:rsidRDefault="005713BA">
            <w:pPr>
              <w:pStyle w:val="KeinLeerraum"/>
              <w:rPr>
                <w:b/>
                <w:bCs/>
              </w:rPr>
            </w:pPr>
            <w:r>
              <w:rPr>
                <w:b/>
                <w:bCs/>
              </w:rPr>
              <w:t>Geprüft und erledigt?</w:t>
            </w:r>
          </w:p>
        </w:tc>
      </w:tr>
      <w:tr w:rsidR="005713BA" w14:paraId="36E1BC2C" w14:textId="77777777" w:rsidTr="005713BA">
        <w:tc>
          <w:tcPr>
            <w:tcW w:w="9062"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AB762E" w14:textId="77777777" w:rsidR="005713BA" w:rsidRDefault="005713BA">
            <w:pPr>
              <w:pStyle w:val="KeinLeerraum"/>
              <w:rPr>
                <w:b/>
                <w:bCs/>
              </w:rPr>
            </w:pPr>
            <w:r>
              <w:rPr>
                <w:b/>
                <w:bCs/>
              </w:rPr>
              <w:t>Schwerpunkte geschickt identifizieren</w:t>
            </w:r>
          </w:p>
        </w:tc>
      </w:tr>
      <w:tr w:rsidR="005713BA" w14:paraId="6F3A916D" w14:textId="77777777" w:rsidTr="005713BA">
        <w:tc>
          <w:tcPr>
            <w:tcW w:w="2547" w:type="dxa"/>
            <w:tcBorders>
              <w:top w:val="single" w:sz="4" w:space="0" w:color="auto"/>
              <w:left w:val="single" w:sz="4" w:space="0" w:color="auto"/>
              <w:bottom w:val="single" w:sz="4" w:space="0" w:color="auto"/>
              <w:right w:val="single" w:sz="4" w:space="0" w:color="auto"/>
            </w:tcBorders>
            <w:hideMark/>
          </w:tcPr>
          <w:p w14:paraId="0CFCA866" w14:textId="77777777" w:rsidR="005713BA" w:rsidRDefault="005713BA">
            <w:pPr>
              <w:pStyle w:val="KeinLeerraum"/>
            </w:pPr>
            <w:r>
              <w:t>Welche Fragen kommen immer wieder oder besonders häufig auf?</w:t>
            </w:r>
          </w:p>
        </w:tc>
        <w:tc>
          <w:tcPr>
            <w:tcW w:w="4961" w:type="dxa"/>
            <w:tcBorders>
              <w:top w:val="single" w:sz="4" w:space="0" w:color="auto"/>
              <w:left w:val="single" w:sz="4" w:space="0" w:color="auto"/>
              <w:bottom w:val="single" w:sz="4" w:space="0" w:color="auto"/>
              <w:right w:val="single" w:sz="4" w:space="0" w:color="auto"/>
            </w:tcBorders>
            <w:hideMark/>
          </w:tcPr>
          <w:p w14:paraId="53D4FE4F" w14:textId="77777777" w:rsidR="005713BA" w:rsidRDefault="005713BA" w:rsidP="005713BA">
            <w:pPr>
              <w:pStyle w:val="KeinLeerraum"/>
              <w:numPr>
                <w:ilvl w:val="0"/>
                <w:numId w:val="32"/>
              </w:numPr>
            </w:pPr>
            <w:r>
              <w:t>Starten Sie zunächst mit einer Analyse. Prüfen Sie Ihr E-Mail-Postfach, Ihre Notizen, Protokolle oder Beratungsdokumente. Machen Sie eine einfache Strichliste nach dem Motto „Welches Thema kommt besonders häufig vor?“.</w:t>
            </w:r>
          </w:p>
          <w:p w14:paraId="2D2D11D0" w14:textId="77777777" w:rsidR="005713BA" w:rsidRDefault="005713BA" w:rsidP="005713BA">
            <w:pPr>
              <w:pStyle w:val="KeinLeerraum"/>
              <w:numPr>
                <w:ilvl w:val="0"/>
                <w:numId w:val="32"/>
              </w:numPr>
            </w:pPr>
            <w:r>
              <w:t>Setzen Sie auch auf ein Brainstorming. Denn unter Umständen haben Sie manches bei der Analyse von E-Mails &amp; Co. nicht entdeckt. So z. B. kurze Beratungen oder die Beantwortung von Fragen in Besprechungen oder am Telefon.</w:t>
            </w:r>
          </w:p>
        </w:tc>
        <w:tc>
          <w:tcPr>
            <w:tcW w:w="1554" w:type="dxa"/>
            <w:tcBorders>
              <w:top w:val="single" w:sz="4" w:space="0" w:color="auto"/>
              <w:left w:val="single" w:sz="4" w:space="0" w:color="auto"/>
              <w:bottom w:val="single" w:sz="4" w:space="0" w:color="auto"/>
              <w:right w:val="single" w:sz="4" w:space="0" w:color="auto"/>
            </w:tcBorders>
            <w:hideMark/>
          </w:tcPr>
          <w:p w14:paraId="35112EBB" w14:textId="77777777" w:rsidR="005713BA" w:rsidRDefault="005713BA">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5713BA" w14:paraId="07FEDCBD" w14:textId="77777777" w:rsidTr="005713BA">
        <w:tc>
          <w:tcPr>
            <w:tcW w:w="2547" w:type="dxa"/>
            <w:tcBorders>
              <w:top w:val="single" w:sz="4" w:space="0" w:color="auto"/>
              <w:left w:val="single" w:sz="4" w:space="0" w:color="auto"/>
              <w:bottom w:val="single" w:sz="4" w:space="0" w:color="auto"/>
              <w:right w:val="single" w:sz="4" w:space="0" w:color="auto"/>
            </w:tcBorders>
            <w:hideMark/>
          </w:tcPr>
          <w:p w14:paraId="34E9E61A" w14:textId="77777777" w:rsidR="005713BA" w:rsidRDefault="005713BA">
            <w:pPr>
              <w:pStyle w:val="KeinLeerraum"/>
            </w:pPr>
            <w:r>
              <w:t>Um welche Themen geht es schwerpunktmäßig?</w:t>
            </w:r>
          </w:p>
        </w:tc>
        <w:tc>
          <w:tcPr>
            <w:tcW w:w="4961" w:type="dxa"/>
            <w:tcBorders>
              <w:top w:val="single" w:sz="4" w:space="0" w:color="auto"/>
              <w:left w:val="single" w:sz="4" w:space="0" w:color="auto"/>
              <w:bottom w:val="single" w:sz="4" w:space="0" w:color="auto"/>
              <w:right w:val="single" w:sz="4" w:space="0" w:color="auto"/>
            </w:tcBorders>
            <w:hideMark/>
          </w:tcPr>
          <w:p w14:paraId="0C2D55AE" w14:textId="77777777" w:rsidR="005713BA" w:rsidRDefault="005713BA" w:rsidP="005713BA">
            <w:pPr>
              <w:pStyle w:val="KeinLeerraum"/>
              <w:numPr>
                <w:ilvl w:val="0"/>
                <w:numId w:val="33"/>
              </w:numPr>
            </w:pPr>
            <w:r>
              <w:t>Stellen Sie die Fragen und Themen nach Oberbegriffen zusammen. Bilden Sie beispielsweise Cluster zu Themen wie „Kundendatenschutz (z. B. Kundendatenbank, Werbung, Messestand)“, „Beschäftigtendaten (z. B. Videoüberwachung, Homeoffice, Bewerbungsgespräche)“, „Technisch-organisatorischer Datenschutz (z. B. Verschlüsselung, Risikoorientierung, Löschung)“.</w:t>
            </w:r>
          </w:p>
          <w:p w14:paraId="423CACB5" w14:textId="77777777" w:rsidR="005713BA" w:rsidRDefault="005713BA" w:rsidP="005713BA">
            <w:pPr>
              <w:pStyle w:val="KeinLeerraum"/>
              <w:numPr>
                <w:ilvl w:val="0"/>
                <w:numId w:val="33"/>
              </w:numPr>
            </w:pPr>
            <w:r>
              <w:t xml:space="preserve">Erstellen Sie sich eine Rangliste der Schwerpunktthemen. Das ist wichtig, damit Sie leichter Prioritäten setzen können. </w:t>
            </w:r>
          </w:p>
        </w:tc>
        <w:tc>
          <w:tcPr>
            <w:tcW w:w="1554" w:type="dxa"/>
            <w:tcBorders>
              <w:top w:val="single" w:sz="4" w:space="0" w:color="auto"/>
              <w:left w:val="single" w:sz="4" w:space="0" w:color="auto"/>
              <w:bottom w:val="single" w:sz="4" w:space="0" w:color="auto"/>
              <w:right w:val="single" w:sz="4" w:space="0" w:color="auto"/>
            </w:tcBorders>
            <w:hideMark/>
          </w:tcPr>
          <w:p w14:paraId="2CBA73F2" w14:textId="77777777" w:rsidR="005713BA" w:rsidRDefault="005713BA">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5713BA" w14:paraId="402CDE91" w14:textId="77777777" w:rsidTr="005713BA">
        <w:tc>
          <w:tcPr>
            <w:tcW w:w="2547" w:type="dxa"/>
            <w:tcBorders>
              <w:top w:val="single" w:sz="4" w:space="0" w:color="auto"/>
              <w:left w:val="single" w:sz="4" w:space="0" w:color="auto"/>
              <w:bottom w:val="single" w:sz="4" w:space="0" w:color="auto"/>
              <w:right w:val="single" w:sz="4" w:space="0" w:color="auto"/>
            </w:tcBorders>
            <w:hideMark/>
          </w:tcPr>
          <w:p w14:paraId="5766FF9F" w14:textId="77777777" w:rsidR="005713BA" w:rsidRDefault="005713BA">
            <w:pPr>
              <w:pStyle w:val="KeinLeerraum"/>
            </w:pPr>
            <w:r>
              <w:t>Wer stellt besonders häufig bestimmte Fragen?</w:t>
            </w:r>
          </w:p>
        </w:tc>
        <w:tc>
          <w:tcPr>
            <w:tcW w:w="4961" w:type="dxa"/>
            <w:tcBorders>
              <w:top w:val="single" w:sz="4" w:space="0" w:color="auto"/>
              <w:left w:val="single" w:sz="4" w:space="0" w:color="auto"/>
              <w:bottom w:val="single" w:sz="4" w:space="0" w:color="auto"/>
              <w:right w:val="single" w:sz="4" w:space="0" w:color="auto"/>
            </w:tcBorders>
            <w:hideMark/>
          </w:tcPr>
          <w:p w14:paraId="2569631C" w14:textId="77777777" w:rsidR="005713BA" w:rsidRDefault="005713BA" w:rsidP="005713BA">
            <w:pPr>
              <w:pStyle w:val="KeinLeerraum"/>
              <w:numPr>
                <w:ilvl w:val="0"/>
                <w:numId w:val="33"/>
              </w:numPr>
            </w:pPr>
            <w:r>
              <w:t xml:space="preserve">Klären Sie, welche Personengruppen welche Fragen stellen. </w:t>
            </w:r>
          </w:p>
          <w:p w14:paraId="570BF5AC" w14:textId="77777777" w:rsidR="005713BA" w:rsidRDefault="005713BA" w:rsidP="005713BA">
            <w:pPr>
              <w:pStyle w:val="KeinLeerraum"/>
              <w:numPr>
                <w:ilvl w:val="0"/>
                <w:numId w:val="33"/>
              </w:numPr>
            </w:pPr>
            <w:r>
              <w:t>Charakterisieren Sie für sich die betreffende Zielgruppe. So macht es einen großen Unterschied, ob es sich um Führungskräfte handelt, die etwas zu Mitarbeiterüberwachung fragen, oder einfache Beschäftigte.</w:t>
            </w:r>
          </w:p>
          <w:p w14:paraId="00DCB2C9" w14:textId="77777777" w:rsidR="005713BA" w:rsidRDefault="005713BA" w:rsidP="005713BA">
            <w:pPr>
              <w:pStyle w:val="KeinLeerraum"/>
              <w:numPr>
                <w:ilvl w:val="0"/>
                <w:numId w:val="33"/>
              </w:numPr>
            </w:pPr>
            <w:r>
              <w:t>Fokussieren Sie später auf die jeweiligen Bedürfnisse der jeweiligen Zielgruppe. Das gilt gerade für die von Ihnen in Erwägung gezogenen Aktivitäten.</w:t>
            </w:r>
          </w:p>
        </w:tc>
        <w:tc>
          <w:tcPr>
            <w:tcW w:w="1554" w:type="dxa"/>
            <w:tcBorders>
              <w:top w:val="single" w:sz="4" w:space="0" w:color="auto"/>
              <w:left w:val="single" w:sz="4" w:space="0" w:color="auto"/>
              <w:bottom w:val="single" w:sz="4" w:space="0" w:color="auto"/>
              <w:right w:val="single" w:sz="4" w:space="0" w:color="auto"/>
            </w:tcBorders>
            <w:hideMark/>
          </w:tcPr>
          <w:p w14:paraId="2DC380B1" w14:textId="77777777" w:rsidR="005713BA" w:rsidRDefault="005713BA">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5713BA" w14:paraId="5CF9B228" w14:textId="77777777" w:rsidTr="005713BA">
        <w:tc>
          <w:tcPr>
            <w:tcW w:w="2547" w:type="dxa"/>
            <w:tcBorders>
              <w:top w:val="single" w:sz="4" w:space="0" w:color="auto"/>
              <w:left w:val="single" w:sz="4" w:space="0" w:color="auto"/>
              <w:bottom w:val="single" w:sz="4" w:space="0" w:color="auto"/>
              <w:right w:val="single" w:sz="4" w:space="0" w:color="auto"/>
            </w:tcBorders>
            <w:hideMark/>
          </w:tcPr>
          <w:p w14:paraId="146344F8" w14:textId="77777777" w:rsidR="005713BA" w:rsidRDefault="005713BA">
            <w:pPr>
              <w:pStyle w:val="KeinLeerraum"/>
            </w:pPr>
            <w:r>
              <w:t>Warum kommen immer wieder die gleichen Fragen?</w:t>
            </w:r>
          </w:p>
        </w:tc>
        <w:tc>
          <w:tcPr>
            <w:tcW w:w="4961" w:type="dxa"/>
            <w:tcBorders>
              <w:top w:val="single" w:sz="4" w:space="0" w:color="auto"/>
              <w:left w:val="single" w:sz="4" w:space="0" w:color="auto"/>
              <w:bottom w:val="single" w:sz="4" w:space="0" w:color="auto"/>
              <w:right w:val="single" w:sz="4" w:space="0" w:color="auto"/>
            </w:tcBorders>
            <w:hideMark/>
          </w:tcPr>
          <w:p w14:paraId="3F59A99F" w14:textId="77777777" w:rsidR="005713BA" w:rsidRDefault="005713BA" w:rsidP="005713BA">
            <w:pPr>
              <w:pStyle w:val="KeinLeerraum"/>
              <w:numPr>
                <w:ilvl w:val="0"/>
                <w:numId w:val="34"/>
              </w:numPr>
            </w:pPr>
            <w:r>
              <w:t>Versuchen Sie, die Gründe und Ursachen auszumachen, weshalb Fragen aufkommen oder immer wieder die gleichen Fälle bei Ihnen auf dem Tisch landen. Typische Gründe können sein: Es gibt unklare oder fehlende Regeln bzw. Informationen, Informationen sind nicht auffindbar oder ohne klare Handlungsanweisung.</w:t>
            </w:r>
          </w:p>
          <w:p w14:paraId="6DCD1632" w14:textId="77777777" w:rsidR="005713BA" w:rsidRDefault="005713BA" w:rsidP="005713BA">
            <w:pPr>
              <w:pStyle w:val="KeinLeerraum"/>
              <w:numPr>
                <w:ilvl w:val="0"/>
                <w:numId w:val="34"/>
              </w:numPr>
            </w:pPr>
            <w:r>
              <w:t>Versetzen Sie sich in die Situation anderer, etwa eines typischen Fragestellers. Gehen Sie damit auch kritisch mit sich selbst um. Eventuell liegt es an Ihnen, dass man Ihnen mehr Arbeit macht als nötig.</w:t>
            </w:r>
          </w:p>
          <w:p w14:paraId="6FD96968" w14:textId="77777777" w:rsidR="005713BA" w:rsidRDefault="005713BA" w:rsidP="005713BA">
            <w:pPr>
              <w:pStyle w:val="KeinLeerraum"/>
              <w:numPr>
                <w:ilvl w:val="0"/>
                <w:numId w:val="34"/>
              </w:numPr>
            </w:pPr>
            <w:r>
              <w:t>Nutzen Sie jede Gelegenheit, Licht ins Dunkel zu bringen. Sprechen Sie dazu auch mit Fragenden bzw. Vertretern aus der Zielgruppe.</w:t>
            </w:r>
          </w:p>
        </w:tc>
        <w:tc>
          <w:tcPr>
            <w:tcW w:w="1554" w:type="dxa"/>
            <w:tcBorders>
              <w:top w:val="single" w:sz="4" w:space="0" w:color="auto"/>
              <w:left w:val="single" w:sz="4" w:space="0" w:color="auto"/>
              <w:bottom w:val="single" w:sz="4" w:space="0" w:color="auto"/>
              <w:right w:val="single" w:sz="4" w:space="0" w:color="auto"/>
            </w:tcBorders>
            <w:hideMark/>
          </w:tcPr>
          <w:p w14:paraId="02ADB4B2" w14:textId="77777777" w:rsidR="005713BA" w:rsidRDefault="005713BA">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5713BA" w14:paraId="55B690F9" w14:textId="77777777" w:rsidTr="005713BA">
        <w:tc>
          <w:tcPr>
            <w:tcW w:w="2547" w:type="dxa"/>
            <w:tcBorders>
              <w:top w:val="single" w:sz="4" w:space="0" w:color="auto"/>
              <w:left w:val="single" w:sz="4" w:space="0" w:color="auto"/>
              <w:bottom w:val="single" w:sz="4" w:space="0" w:color="auto"/>
              <w:right w:val="single" w:sz="4" w:space="0" w:color="auto"/>
            </w:tcBorders>
            <w:hideMark/>
          </w:tcPr>
          <w:p w14:paraId="723489CA" w14:textId="77777777" w:rsidR="005713BA" w:rsidRDefault="005713BA">
            <w:pPr>
              <w:pStyle w:val="KeinLeerraum"/>
            </w:pPr>
            <w:r>
              <w:t>Welche Informationen werden bereitgestellt?</w:t>
            </w:r>
          </w:p>
        </w:tc>
        <w:tc>
          <w:tcPr>
            <w:tcW w:w="4961" w:type="dxa"/>
            <w:tcBorders>
              <w:top w:val="single" w:sz="4" w:space="0" w:color="auto"/>
              <w:left w:val="single" w:sz="4" w:space="0" w:color="auto"/>
              <w:bottom w:val="single" w:sz="4" w:space="0" w:color="auto"/>
              <w:right w:val="single" w:sz="4" w:space="0" w:color="auto"/>
            </w:tcBorders>
            <w:hideMark/>
          </w:tcPr>
          <w:p w14:paraId="6496F262" w14:textId="77777777" w:rsidR="005713BA" w:rsidRDefault="005713BA" w:rsidP="005713BA">
            <w:pPr>
              <w:pStyle w:val="KeinLeerraum"/>
              <w:numPr>
                <w:ilvl w:val="0"/>
                <w:numId w:val="35"/>
              </w:numPr>
            </w:pPr>
            <w:r>
              <w:t>Machen Sie auch einen „Kassensturz“ in Sachen vorhandener Informationen. Gibt es für bestimmte Themen nichts oder sind die Informationen irgendwo versteckt, kann sie auch niemand finden bzw. nutzen.</w:t>
            </w:r>
          </w:p>
          <w:p w14:paraId="0DDD77F1" w14:textId="77777777" w:rsidR="005713BA" w:rsidRDefault="005713BA" w:rsidP="005713BA">
            <w:pPr>
              <w:pStyle w:val="KeinLeerraum"/>
              <w:numPr>
                <w:ilvl w:val="0"/>
                <w:numId w:val="35"/>
              </w:numPr>
            </w:pPr>
            <w:r>
              <w:t xml:space="preserve">Klären Sie für sich, wer welche Informationen bereitstellen müsste. Weil Sie ja in erster Linie Berater in Datenschutzfragen sind, kann Ihre </w:t>
            </w:r>
            <w:r>
              <w:lastRenderedPageBreak/>
              <w:t>erste Aufgabe auch darin bestehen, dass Sie andere dabei unterstützen, ihren (Informations-)Auftrag wahrzunehmen.</w:t>
            </w:r>
          </w:p>
          <w:p w14:paraId="044EFFF8" w14:textId="77777777" w:rsidR="005713BA" w:rsidRDefault="005713BA" w:rsidP="005713BA">
            <w:pPr>
              <w:pStyle w:val="KeinLeerraum"/>
              <w:numPr>
                <w:ilvl w:val="0"/>
                <w:numId w:val="35"/>
              </w:numPr>
            </w:pPr>
            <w:r>
              <w:t>Machen Sie die Probe aufs Exempel. Versuchen Sie, auf typische Fragen schnell selbst Informationen zu finden, etwa im Intranet. Dabei ist wichtig: Nur weil das Ihnen mit Ihrem Spezialwissen leicht von der Hand geht, muss das für andere nicht gelten. Machen Sie den Realitätscheck aus Perspektive des typischen Fragenden.</w:t>
            </w:r>
          </w:p>
        </w:tc>
        <w:tc>
          <w:tcPr>
            <w:tcW w:w="1554" w:type="dxa"/>
            <w:tcBorders>
              <w:top w:val="single" w:sz="4" w:space="0" w:color="auto"/>
              <w:left w:val="single" w:sz="4" w:space="0" w:color="auto"/>
              <w:bottom w:val="single" w:sz="4" w:space="0" w:color="auto"/>
              <w:right w:val="single" w:sz="4" w:space="0" w:color="auto"/>
            </w:tcBorders>
            <w:hideMark/>
          </w:tcPr>
          <w:p w14:paraId="65BE6F09" w14:textId="77777777" w:rsidR="005713BA" w:rsidRDefault="005713BA">
            <w:pPr>
              <w:pStyle w:val="KeinLeerraum"/>
            </w:pPr>
            <w:r>
              <w:lastRenderedPageBreak/>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5713BA" w14:paraId="73EC7F00" w14:textId="77777777" w:rsidTr="005713BA">
        <w:tc>
          <w:tcPr>
            <w:tcW w:w="9062"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7E47F17" w14:textId="77777777" w:rsidR="005713BA" w:rsidRDefault="005713BA">
            <w:pPr>
              <w:pStyle w:val="KeinLeerraum"/>
              <w:rPr>
                <w:b/>
                <w:bCs/>
              </w:rPr>
            </w:pPr>
            <w:r>
              <w:rPr>
                <w:b/>
                <w:bCs/>
              </w:rPr>
              <w:t>Handlungsbedarf ausmachen</w:t>
            </w:r>
          </w:p>
        </w:tc>
      </w:tr>
      <w:tr w:rsidR="005713BA" w14:paraId="467913C1" w14:textId="77777777" w:rsidTr="005713BA">
        <w:tc>
          <w:tcPr>
            <w:tcW w:w="2547" w:type="dxa"/>
            <w:tcBorders>
              <w:top w:val="single" w:sz="4" w:space="0" w:color="auto"/>
              <w:left w:val="single" w:sz="4" w:space="0" w:color="auto"/>
              <w:bottom w:val="single" w:sz="4" w:space="0" w:color="auto"/>
              <w:right w:val="single" w:sz="4" w:space="0" w:color="auto"/>
            </w:tcBorders>
            <w:hideMark/>
          </w:tcPr>
          <w:p w14:paraId="52D1278C" w14:textId="77777777" w:rsidR="005713BA" w:rsidRDefault="005713BA">
            <w:pPr>
              <w:pStyle w:val="KeinLeerraum"/>
            </w:pPr>
            <w:r>
              <w:t>Wie hoch sind die Relevanz und Bedeutung bestimmter Themen?</w:t>
            </w:r>
          </w:p>
        </w:tc>
        <w:tc>
          <w:tcPr>
            <w:tcW w:w="4961" w:type="dxa"/>
            <w:tcBorders>
              <w:top w:val="single" w:sz="4" w:space="0" w:color="auto"/>
              <w:left w:val="single" w:sz="4" w:space="0" w:color="auto"/>
              <w:bottom w:val="single" w:sz="4" w:space="0" w:color="auto"/>
              <w:right w:val="single" w:sz="4" w:space="0" w:color="auto"/>
            </w:tcBorders>
            <w:hideMark/>
          </w:tcPr>
          <w:p w14:paraId="3CE70C23" w14:textId="77777777" w:rsidR="005713BA" w:rsidRDefault="005713BA" w:rsidP="005713BA">
            <w:pPr>
              <w:pStyle w:val="KeinLeerraum"/>
              <w:numPr>
                <w:ilvl w:val="0"/>
                <w:numId w:val="36"/>
              </w:numPr>
            </w:pPr>
            <w:r>
              <w:t>Nur weil ein Thema oder eine Frage besonders oft kommt, muss das nicht bedeuten, dass Sie sich dem als Erstes widmen müssen.</w:t>
            </w:r>
          </w:p>
          <w:p w14:paraId="06C9723C" w14:textId="77777777" w:rsidR="005713BA" w:rsidRDefault="005713BA" w:rsidP="005713BA">
            <w:pPr>
              <w:pStyle w:val="KeinLeerraum"/>
              <w:numPr>
                <w:ilvl w:val="0"/>
                <w:numId w:val="36"/>
              </w:numPr>
            </w:pPr>
            <w:r>
              <w:t>Was weniger bedeutsam bzw. dringend ist, sollten Sie zwar nicht unter den Tisch fallen lassen. Gehen Sie es jedoch mit niedriger zeitlicher Priorität an.</w:t>
            </w:r>
          </w:p>
        </w:tc>
        <w:tc>
          <w:tcPr>
            <w:tcW w:w="1554" w:type="dxa"/>
            <w:tcBorders>
              <w:top w:val="single" w:sz="4" w:space="0" w:color="auto"/>
              <w:left w:val="single" w:sz="4" w:space="0" w:color="auto"/>
              <w:bottom w:val="single" w:sz="4" w:space="0" w:color="auto"/>
              <w:right w:val="single" w:sz="4" w:space="0" w:color="auto"/>
            </w:tcBorders>
            <w:hideMark/>
          </w:tcPr>
          <w:p w14:paraId="79302144" w14:textId="77777777" w:rsidR="005713BA" w:rsidRDefault="005713BA">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5713BA" w14:paraId="0ECA4D2E" w14:textId="77777777" w:rsidTr="005713BA">
        <w:tc>
          <w:tcPr>
            <w:tcW w:w="2547" w:type="dxa"/>
            <w:tcBorders>
              <w:top w:val="single" w:sz="4" w:space="0" w:color="auto"/>
              <w:left w:val="single" w:sz="4" w:space="0" w:color="auto"/>
              <w:bottom w:val="single" w:sz="4" w:space="0" w:color="auto"/>
              <w:right w:val="single" w:sz="4" w:space="0" w:color="auto"/>
            </w:tcBorders>
            <w:hideMark/>
          </w:tcPr>
          <w:p w14:paraId="2DF7BC3D" w14:textId="77777777" w:rsidR="005713BA" w:rsidRDefault="005713BA">
            <w:pPr>
              <w:pStyle w:val="KeinLeerraum"/>
            </w:pPr>
            <w:r>
              <w:t>Welche Risiken bestehen, wenn Sie sich nicht der Sache annehmen?</w:t>
            </w:r>
          </w:p>
        </w:tc>
        <w:tc>
          <w:tcPr>
            <w:tcW w:w="4961" w:type="dxa"/>
            <w:tcBorders>
              <w:top w:val="single" w:sz="4" w:space="0" w:color="auto"/>
              <w:left w:val="single" w:sz="4" w:space="0" w:color="auto"/>
              <w:bottom w:val="single" w:sz="4" w:space="0" w:color="auto"/>
              <w:right w:val="single" w:sz="4" w:space="0" w:color="auto"/>
            </w:tcBorders>
            <w:hideMark/>
          </w:tcPr>
          <w:p w14:paraId="13FD43EF" w14:textId="77777777" w:rsidR="005713BA" w:rsidRDefault="005713BA" w:rsidP="005713BA">
            <w:pPr>
              <w:pStyle w:val="KeinLeerraum"/>
              <w:numPr>
                <w:ilvl w:val="0"/>
                <w:numId w:val="37"/>
              </w:numPr>
            </w:pPr>
            <w:r>
              <w:t>Hier sollten Sie verschiedene „Risikoperspektiven“ einnehmen. So z. B. die des Betroffenen, des Unternehmens und auch die des Datenschutzbeauftragten. Je nach Perspektive kann sich der Handlungsbedarf ganz anders darstellen.</w:t>
            </w:r>
          </w:p>
          <w:p w14:paraId="7623DE25" w14:textId="77777777" w:rsidR="005713BA" w:rsidRDefault="005713BA" w:rsidP="005713BA">
            <w:pPr>
              <w:pStyle w:val="KeinLeerraum"/>
              <w:numPr>
                <w:ilvl w:val="0"/>
                <w:numId w:val="37"/>
              </w:numPr>
            </w:pPr>
            <w:r>
              <w:t>Gehen Sie wie üblich bei Risikobewertungen vor. Machen Sie die mögliche Gefahr aus. Bewerten Sie dann die Eintrittswahrscheinlichkeit und die möglichen nachteiligen Konsequenzen mit 1 bis 3, eben für niedrig, mittel und hoch. Berechnen Sie eine Risikoziffer: Schadenshöhe (1 bis 3) × Wahrscheinlichkeit (1 bis 3) = Risiko (1 bis 9). Die hohen Risiken sollten als Erstes behandelt werden.</w:t>
            </w:r>
          </w:p>
        </w:tc>
        <w:tc>
          <w:tcPr>
            <w:tcW w:w="1554" w:type="dxa"/>
            <w:tcBorders>
              <w:top w:val="single" w:sz="4" w:space="0" w:color="auto"/>
              <w:left w:val="single" w:sz="4" w:space="0" w:color="auto"/>
              <w:bottom w:val="single" w:sz="4" w:space="0" w:color="auto"/>
              <w:right w:val="single" w:sz="4" w:space="0" w:color="auto"/>
            </w:tcBorders>
            <w:hideMark/>
          </w:tcPr>
          <w:p w14:paraId="590E25BB" w14:textId="77777777" w:rsidR="005713BA" w:rsidRDefault="005713BA">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5713BA" w14:paraId="3ED4113F" w14:textId="77777777" w:rsidTr="005713BA">
        <w:tc>
          <w:tcPr>
            <w:tcW w:w="2547" w:type="dxa"/>
            <w:tcBorders>
              <w:top w:val="single" w:sz="4" w:space="0" w:color="auto"/>
              <w:left w:val="single" w:sz="4" w:space="0" w:color="auto"/>
              <w:bottom w:val="single" w:sz="4" w:space="0" w:color="auto"/>
              <w:right w:val="single" w:sz="4" w:space="0" w:color="auto"/>
            </w:tcBorders>
            <w:hideMark/>
          </w:tcPr>
          <w:p w14:paraId="01FF93D0" w14:textId="77777777" w:rsidR="005713BA" w:rsidRDefault="005713BA">
            <w:pPr>
              <w:pStyle w:val="KeinLeerraum"/>
            </w:pPr>
            <w:r>
              <w:t>Ist eine einfache und zügige Umsetzung möglich?</w:t>
            </w:r>
          </w:p>
        </w:tc>
        <w:tc>
          <w:tcPr>
            <w:tcW w:w="4961" w:type="dxa"/>
            <w:tcBorders>
              <w:top w:val="single" w:sz="4" w:space="0" w:color="auto"/>
              <w:left w:val="single" w:sz="4" w:space="0" w:color="auto"/>
              <w:bottom w:val="single" w:sz="4" w:space="0" w:color="auto"/>
              <w:right w:val="single" w:sz="4" w:space="0" w:color="auto"/>
            </w:tcBorders>
            <w:hideMark/>
          </w:tcPr>
          <w:p w14:paraId="44D64B95" w14:textId="77777777" w:rsidR="005713BA" w:rsidRDefault="005713BA" w:rsidP="005713BA">
            <w:pPr>
              <w:pStyle w:val="KeinLeerraum"/>
              <w:numPr>
                <w:ilvl w:val="0"/>
                <w:numId w:val="38"/>
              </w:numPr>
            </w:pPr>
            <w:r>
              <w:t>Nehmen Sie bei den wichtigen Themen, diejenigen zuerst in Angriff, bei denen Sie schnell vorwärtskommen bzw. die Sie schnell erledigen können.</w:t>
            </w:r>
          </w:p>
          <w:p w14:paraId="6C1E75BC" w14:textId="77777777" w:rsidR="005713BA" w:rsidRDefault="005713BA" w:rsidP="005713BA">
            <w:pPr>
              <w:pStyle w:val="KeinLeerraum"/>
              <w:numPr>
                <w:ilvl w:val="0"/>
                <w:numId w:val="38"/>
              </w:numPr>
            </w:pPr>
            <w:r>
              <w:t>Identifizieren Sie vor allem Bremsklötze oder K.-o.-Kriterien. Auch wenn Themen wichtig sind, können diese nicht einfach oder schnell umsetzbar sein. Hier kann es sinnvoll sein, andere Strategien zu entwickeln.</w:t>
            </w:r>
          </w:p>
        </w:tc>
        <w:tc>
          <w:tcPr>
            <w:tcW w:w="1554" w:type="dxa"/>
            <w:tcBorders>
              <w:top w:val="single" w:sz="4" w:space="0" w:color="auto"/>
              <w:left w:val="single" w:sz="4" w:space="0" w:color="auto"/>
              <w:bottom w:val="single" w:sz="4" w:space="0" w:color="auto"/>
              <w:right w:val="single" w:sz="4" w:space="0" w:color="auto"/>
            </w:tcBorders>
            <w:hideMark/>
          </w:tcPr>
          <w:p w14:paraId="67979FA3" w14:textId="77777777" w:rsidR="005713BA" w:rsidRDefault="005713BA">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5713BA" w14:paraId="56967D5E" w14:textId="77777777" w:rsidTr="005713BA">
        <w:tc>
          <w:tcPr>
            <w:tcW w:w="9062"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8A68057" w14:textId="77777777" w:rsidR="005713BA" w:rsidRDefault="005713BA">
            <w:pPr>
              <w:pStyle w:val="KeinLeerraum"/>
              <w:rPr>
                <w:b/>
                <w:bCs/>
              </w:rPr>
            </w:pPr>
            <w:r>
              <w:rPr>
                <w:b/>
                <w:bCs/>
              </w:rPr>
              <w:t>Die passende Lösung finden</w:t>
            </w:r>
          </w:p>
        </w:tc>
      </w:tr>
      <w:tr w:rsidR="005713BA" w14:paraId="59ED02E6" w14:textId="77777777" w:rsidTr="005713BA">
        <w:tc>
          <w:tcPr>
            <w:tcW w:w="2547" w:type="dxa"/>
            <w:tcBorders>
              <w:top w:val="single" w:sz="4" w:space="0" w:color="auto"/>
              <w:left w:val="single" w:sz="4" w:space="0" w:color="auto"/>
              <w:bottom w:val="single" w:sz="4" w:space="0" w:color="auto"/>
              <w:right w:val="single" w:sz="4" w:space="0" w:color="auto"/>
            </w:tcBorders>
            <w:hideMark/>
          </w:tcPr>
          <w:p w14:paraId="66547156" w14:textId="77777777" w:rsidR="005713BA" w:rsidRDefault="005713BA">
            <w:pPr>
              <w:pStyle w:val="KeinLeerraum"/>
            </w:pPr>
            <w:r>
              <w:t>Welche Maßnahme eignet sich besonders für den betreffenden Standardfall oder die Standardfrage?</w:t>
            </w:r>
          </w:p>
        </w:tc>
        <w:tc>
          <w:tcPr>
            <w:tcW w:w="4961" w:type="dxa"/>
            <w:tcBorders>
              <w:top w:val="single" w:sz="4" w:space="0" w:color="auto"/>
              <w:left w:val="single" w:sz="4" w:space="0" w:color="auto"/>
              <w:bottom w:val="single" w:sz="4" w:space="0" w:color="auto"/>
              <w:right w:val="single" w:sz="4" w:space="0" w:color="auto"/>
            </w:tcBorders>
            <w:hideMark/>
          </w:tcPr>
          <w:p w14:paraId="508CE98D" w14:textId="77777777" w:rsidR="005713BA" w:rsidRDefault="005713BA" w:rsidP="005713BA">
            <w:pPr>
              <w:pStyle w:val="KeinLeerraum"/>
              <w:numPr>
                <w:ilvl w:val="0"/>
                <w:numId w:val="39"/>
              </w:numPr>
            </w:pPr>
            <w:r>
              <w:t>Wählen Sie die passenden Lösungen aus Ihrem „Werkzeugkasten“. Typische Beispiele sind:</w:t>
            </w:r>
          </w:p>
          <w:p w14:paraId="48E8A2FC" w14:textId="77777777" w:rsidR="005713BA" w:rsidRDefault="005713BA" w:rsidP="005713BA">
            <w:pPr>
              <w:pStyle w:val="KeinLeerraum"/>
              <w:numPr>
                <w:ilvl w:val="0"/>
                <w:numId w:val="40"/>
              </w:numPr>
            </w:pPr>
            <w:r>
              <w:t>Regelungen und Prozessbeschreibungen</w:t>
            </w:r>
          </w:p>
          <w:p w14:paraId="1FC17271" w14:textId="77777777" w:rsidR="005713BA" w:rsidRDefault="005713BA" w:rsidP="005713BA">
            <w:pPr>
              <w:pStyle w:val="KeinLeerraum"/>
              <w:numPr>
                <w:ilvl w:val="0"/>
                <w:numId w:val="40"/>
              </w:numPr>
            </w:pPr>
            <w:r>
              <w:t>Themenseiten mit Erläuterungen im Intranet</w:t>
            </w:r>
          </w:p>
          <w:p w14:paraId="5B502B2C" w14:textId="77777777" w:rsidR="005713BA" w:rsidRDefault="005713BA" w:rsidP="005713BA">
            <w:pPr>
              <w:pStyle w:val="KeinLeerraum"/>
              <w:numPr>
                <w:ilvl w:val="0"/>
                <w:numId w:val="40"/>
              </w:numPr>
            </w:pPr>
            <w:r>
              <w:t>thematische Listen mit Antworten auf häufig gestellte Fragen</w:t>
            </w:r>
          </w:p>
          <w:p w14:paraId="2D9513D2" w14:textId="77777777" w:rsidR="005713BA" w:rsidRDefault="005713BA" w:rsidP="005713BA">
            <w:pPr>
              <w:pStyle w:val="KeinLeerraum"/>
              <w:numPr>
                <w:ilvl w:val="0"/>
                <w:numId w:val="40"/>
              </w:numPr>
            </w:pPr>
            <w:r>
              <w:t>Merkblätter und Checklisten</w:t>
            </w:r>
          </w:p>
          <w:p w14:paraId="4B263B27" w14:textId="77777777" w:rsidR="005713BA" w:rsidRDefault="005713BA" w:rsidP="005713BA">
            <w:pPr>
              <w:pStyle w:val="KeinLeerraum"/>
              <w:numPr>
                <w:ilvl w:val="0"/>
                <w:numId w:val="40"/>
              </w:numPr>
            </w:pPr>
            <w:r>
              <w:t>Anleitungen und Erklärvideos</w:t>
            </w:r>
          </w:p>
          <w:p w14:paraId="14B8152C" w14:textId="77777777" w:rsidR="005713BA" w:rsidRDefault="005713BA" w:rsidP="005713BA">
            <w:pPr>
              <w:pStyle w:val="KeinLeerraum"/>
              <w:numPr>
                <w:ilvl w:val="0"/>
                <w:numId w:val="40"/>
              </w:numPr>
            </w:pPr>
            <w:r>
              <w:t>Sprechstunden für individuelle Fragen</w:t>
            </w:r>
          </w:p>
          <w:p w14:paraId="7510EFD4" w14:textId="77777777" w:rsidR="005713BA" w:rsidRDefault="005713BA" w:rsidP="005713BA">
            <w:pPr>
              <w:pStyle w:val="KeinLeerraum"/>
              <w:numPr>
                <w:ilvl w:val="0"/>
                <w:numId w:val="38"/>
              </w:numPr>
            </w:pPr>
            <w:r>
              <w:t>Oft sind Mischungen aus verschiedenen Lösungen am besten.</w:t>
            </w:r>
          </w:p>
          <w:p w14:paraId="25CD96B9" w14:textId="77777777" w:rsidR="005713BA" w:rsidRDefault="005713BA" w:rsidP="005713BA">
            <w:pPr>
              <w:pStyle w:val="KeinLeerraum"/>
              <w:numPr>
                <w:ilvl w:val="0"/>
                <w:numId w:val="38"/>
              </w:numPr>
            </w:pPr>
            <w:r>
              <w:t>Die Qualität Ihrer Angebote steigt vor allem mit der Aktualität. Gibt es neue Informationen oder Hinweise, sollten diese zeitnah Einfluss in Ihr Angebot finden.</w:t>
            </w:r>
          </w:p>
        </w:tc>
        <w:tc>
          <w:tcPr>
            <w:tcW w:w="1554" w:type="dxa"/>
            <w:tcBorders>
              <w:top w:val="single" w:sz="4" w:space="0" w:color="auto"/>
              <w:left w:val="single" w:sz="4" w:space="0" w:color="auto"/>
              <w:bottom w:val="single" w:sz="4" w:space="0" w:color="auto"/>
              <w:right w:val="single" w:sz="4" w:space="0" w:color="auto"/>
            </w:tcBorders>
            <w:hideMark/>
          </w:tcPr>
          <w:p w14:paraId="5B1BF0AD" w14:textId="77777777" w:rsidR="005713BA" w:rsidRDefault="005713BA">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5713BA" w14:paraId="17A22FB2" w14:textId="77777777" w:rsidTr="005713BA">
        <w:tc>
          <w:tcPr>
            <w:tcW w:w="2547" w:type="dxa"/>
            <w:tcBorders>
              <w:top w:val="single" w:sz="4" w:space="0" w:color="auto"/>
              <w:left w:val="single" w:sz="4" w:space="0" w:color="auto"/>
              <w:bottom w:val="single" w:sz="4" w:space="0" w:color="auto"/>
              <w:right w:val="single" w:sz="4" w:space="0" w:color="auto"/>
            </w:tcBorders>
            <w:hideMark/>
          </w:tcPr>
          <w:p w14:paraId="74951A87" w14:textId="77777777" w:rsidR="005713BA" w:rsidRDefault="005713BA">
            <w:pPr>
              <w:pStyle w:val="KeinLeerraum"/>
            </w:pPr>
            <w:r>
              <w:lastRenderedPageBreak/>
              <w:t>Wie können Beschäftigte befähigt werden, einfache Fragen selbst zu beantworten?</w:t>
            </w:r>
          </w:p>
        </w:tc>
        <w:tc>
          <w:tcPr>
            <w:tcW w:w="4961" w:type="dxa"/>
            <w:tcBorders>
              <w:top w:val="single" w:sz="4" w:space="0" w:color="auto"/>
              <w:left w:val="single" w:sz="4" w:space="0" w:color="auto"/>
              <w:bottom w:val="single" w:sz="4" w:space="0" w:color="auto"/>
              <w:right w:val="single" w:sz="4" w:space="0" w:color="auto"/>
            </w:tcBorders>
            <w:hideMark/>
          </w:tcPr>
          <w:p w14:paraId="1727993E" w14:textId="77777777" w:rsidR="005713BA" w:rsidRDefault="005713BA" w:rsidP="005713BA">
            <w:pPr>
              <w:pStyle w:val="KeinLeerraum"/>
              <w:numPr>
                <w:ilvl w:val="0"/>
                <w:numId w:val="41"/>
              </w:numPr>
            </w:pPr>
            <w:r>
              <w:t>Werden Sie nach folgendem Motto aktiv: Der Köder muss dem Fisch schmecken und nicht dem Angler. Zielgruppenorientierung ist oberstes Gebot. So machen auch Sie sich das Leben leichter, wenn etwa bei komplizierten oder „Nerv-Themen“ endlich der Groschen fällt.</w:t>
            </w:r>
          </w:p>
          <w:p w14:paraId="652E9E16" w14:textId="77777777" w:rsidR="005713BA" w:rsidRDefault="005713BA" w:rsidP="005713BA">
            <w:pPr>
              <w:pStyle w:val="KeinLeerraum"/>
              <w:numPr>
                <w:ilvl w:val="0"/>
                <w:numId w:val="41"/>
              </w:numPr>
            </w:pPr>
            <w:r>
              <w:t>Klären Sie mit der Zielgruppe die Frage „Womit wäre Ihnen bei diesem Thema bzw. bei diesen Fragen in der Praxis am meisten geholfen?“.</w:t>
            </w:r>
          </w:p>
        </w:tc>
        <w:tc>
          <w:tcPr>
            <w:tcW w:w="1554" w:type="dxa"/>
            <w:tcBorders>
              <w:top w:val="single" w:sz="4" w:space="0" w:color="auto"/>
              <w:left w:val="single" w:sz="4" w:space="0" w:color="auto"/>
              <w:bottom w:val="single" w:sz="4" w:space="0" w:color="auto"/>
              <w:right w:val="single" w:sz="4" w:space="0" w:color="auto"/>
            </w:tcBorders>
            <w:hideMark/>
          </w:tcPr>
          <w:p w14:paraId="4873A588" w14:textId="77777777" w:rsidR="005713BA" w:rsidRDefault="005713BA">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5713BA" w14:paraId="6B2F3506" w14:textId="77777777" w:rsidTr="005713BA">
        <w:tc>
          <w:tcPr>
            <w:tcW w:w="2547" w:type="dxa"/>
            <w:tcBorders>
              <w:top w:val="single" w:sz="4" w:space="0" w:color="auto"/>
              <w:left w:val="single" w:sz="4" w:space="0" w:color="auto"/>
              <w:bottom w:val="single" w:sz="4" w:space="0" w:color="auto"/>
              <w:right w:val="single" w:sz="4" w:space="0" w:color="auto"/>
            </w:tcBorders>
            <w:hideMark/>
          </w:tcPr>
          <w:p w14:paraId="440C789C" w14:textId="77777777" w:rsidR="005713BA" w:rsidRDefault="005713BA">
            <w:pPr>
              <w:pStyle w:val="KeinLeerraum"/>
            </w:pPr>
            <w:r>
              <w:t>Wodurch wird sichergestellt, dass Informationen für die betreffende Zielgruppe leicht zu finden sind?</w:t>
            </w:r>
          </w:p>
        </w:tc>
        <w:tc>
          <w:tcPr>
            <w:tcW w:w="4961" w:type="dxa"/>
            <w:tcBorders>
              <w:top w:val="single" w:sz="4" w:space="0" w:color="auto"/>
              <w:left w:val="single" w:sz="4" w:space="0" w:color="auto"/>
              <w:bottom w:val="single" w:sz="4" w:space="0" w:color="auto"/>
              <w:right w:val="single" w:sz="4" w:space="0" w:color="auto"/>
            </w:tcBorders>
            <w:hideMark/>
          </w:tcPr>
          <w:p w14:paraId="2D7BD450" w14:textId="77777777" w:rsidR="005713BA" w:rsidRDefault="005713BA" w:rsidP="005713BA">
            <w:pPr>
              <w:pStyle w:val="KeinLeerraum"/>
              <w:numPr>
                <w:ilvl w:val="0"/>
                <w:numId w:val="42"/>
              </w:numPr>
            </w:pPr>
            <w:r>
              <w:t xml:space="preserve">Vieles werden Sie ggf. im Intranet bereitstellen wollen. Hier ist entscheidend, dass Suchende schnell das Gesuchte finden. Setzen Sie daher auf eine gute und schlüssige Bezeichnung von Seiten, Dokumenten und Links. </w:t>
            </w:r>
          </w:p>
          <w:p w14:paraId="028CBA29" w14:textId="77777777" w:rsidR="005713BA" w:rsidRDefault="005713BA" w:rsidP="005713BA">
            <w:pPr>
              <w:pStyle w:val="KeinLeerraum"/>
              <w:numPr>
                <w:ilvl w:val="0"/>
                <w:numId w:val="42"/>
              </w:numPr>
            </w:pPr>
            <w:r>
              <w:t>Oft ist es für Suchende besonders hilfreich, wenn Sie eine ausführliche A-bis-Z-Liste bereitstellen. Die wird dann Anlaufstelle Nummer eins. Nehmen Sie in die Liste vor allem die Begriffe auf, die Zielgruppen am ehesten suchen dürften. Achten Sie zugleich dennoch darauf, dass Sie sich auf das Wesentliche konzentrieren und auf belanglose Themen verzichten.</w:t>
            </w:r>
          </w:p>
        </w:tc>
        <w:tc>
          <w:tcPr>
            <w:tcW w:w="1554" w:type="dxa"/>
            <w:tcBorders>
              <w:top w:val="single" w:sz="4" w:space="0" w:color="auto"/>
              <w:left w:val="single" w:sz="4" w:space="0" w:color="auto"/>
              <w:bottom w:val="single" w:sz="4" w:space="0" w:color="auto"/>
              <w:right w:val="single" w:sz="4" w:space="0" w:color="auto"/>
            </w:tcBorders>
            <w:hideMark/>
          </w:tcPr>
          <w:p w14:paraId="6BCE7A1A" w14:textId="77777777" w:rsidR="005713BA" w:rsidRDefault="005713BA">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5713BA" w14:paraId="7FB7689A" w14:textId="77777777" w:rsidTr="005713BA">
        <w:tc>
          <w:tcPr>
            <w:tcW w:w="2547" w:type="dxa"/>
            <w:tcBorders>
              <w:top w:val="single" w:sz="4" w:space="0" w:color="auto"/>
              <w:left w:val="single" w:sz="4" w:space="0" w:color="auto"/>
              <w:bottom w:val="single" w:sz="4" w:space="0" w:color="auto"/>
              <w:right w:val="single" w:sz="4" w:space="0" w:color="auto"/>
            </w:tcBorders>
            <w:hideMark/>
          </w:tcPr>
          <w:p w14:paraId="0D122896" w14:textId="77777777" w:rsidR="005713BA" w:rsidRDefault="005713BA">
            <w:pPr>
              <w:pStyle w:val="KeinLeerraum"/>
            </w:pPr>
            <w:r>
              <w:t>Inwieweit ist sichergestellt, dass Informationen aktuell gehalten werden?</w:t>
            </w:r>
          </w:p>
        </w:tc>
        <w:tc>
          <w:tcPr>
            <w:tcW w:w="4961" w:type="dxa"/>
            <w:tcBorders>
              <w:top w:val="single" w:sz="4" w:space="0" w:color="auto"/>
              <w:left w:val="single" w:sz="4" w:space="0" w:color="auto"/>
              <w:bottom w:val="single" w:sz="4" w:space="0" w:color="auto"/>
              <w:right w:val="single" w:sz="4" w:space="0" w:color="auto"/>
            </w:tcBorders>
            <w:hideMark/>
          </w:tcPr>
          <w:p w14:paraId="0CABAA48" w14:textId="77777777" w:rsidR="005713BA" w:rsidRDefault="005713BA" w:rsidP="005713BA">
            <w:pPr>
              <w:pStyle w:val="KeinLeerraum"/>
              <w:numPr>
                <w:ilvl w:val="0"/>
                <w:numId w:val="43"/>
              </w:numPr>
            </w:pPr>
            <w:r>
              <w:t>Egal, was Sie anbieten, es sollte aktuell gehalten sein. Denn veraltete Informationen sind nicht nur ärgerlich für den Nutzer. Schlimmstenfalls sorgen sie auch für Fehler oder falsches Verhalten.</w:t>
            </w:r>
          </w:p>
          <w:p w14:paraId="30B050F1" w14:textId="77777777" w:rsidR="005713BA" w:rsidRDefault="005713BA" w:rsidP="005713BA">
            <w:pPr>
              <w:pStyle w:val="KeinLeerraum"/>
              <w:numPr>
                <w:ilvl w:val="0"/>
                <w:numId w:val="43"/>
              </w:numPr>
            </w:pPr>
            <w:r>
              <w:t>Versehen Sie nach Möglichkeit alles Veröffentlichte mit einer Versionsnummer und einem Bearbeitungsdatum. Das hilft nicht nur Nutzern, die Aktualität einzuschätzen. Auch Sie erkennen auf einen Blick, was schon etwas in die Jahre gekommen ist.</w:t>
            </w:r>
          </w:p>
          <w:p w14:paraId="771DFDA5" w14:textId="77777777" w:rsidR="005713BA" w:rsidRDefault="005713BA" w:rsidP="005713BA">
            <w:pPr>
              <w:pStyle w:val="KeinLeerraum"/>
              <w:numPr>
                <w:ilvl w:val="0"/>
                <w:numId w:val="43"/>
              </w:numPr>
            </w:pPr>
            <w:r>
              <w:t>Prüfen Sie gerade bei Intranetangeboten regelmäßig, ob Seiten und Links funktionieren. Tote Links sind meist mehr als nur bloßes Ärgernis. Sie können Suchende frustrieren und dazu führen, dass diese ihre Suche aufgeben.</w:t>
            </w:r>
          </w:p>
        </w:tc>
        <w:tc>
          <w:tcPr>
            <w:tcW w:w="1554" w:type="dxa"/>
            <w:tcBorders>
              <w:top w:val="single" w:sz="4" w:space="0" w:color="auto"/>
              <w:left w:val="single" w:sz="4" w:space="0" w:color="auto"/>
              <w:bottom w:val="single" w:sz="4" w:space="0" w:color="auto"/>
              <w:right w:val="single" w:sz="4" w:space="0" w:color="auto"/>
            </w:tcBorders>
            <w:hideMark/>
          </w:tcPr>
          <w:p w14:paraId="5498A9D0" w14:textId="77777777" w:rsidR="005713BA" w:rsidRDefault="005713BA">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5713BA" w14:paraId="02517504" w14:textId="77777777" w:rsidTr="005713BA">
        <w:tc>
          <w:tcPr>
            <w:tcW w:w="2547" w:type="dxa"/>
            <w:tcBorders>
              <w:top w:val="single" w:sz="4" w:space="0" w:color="auto"/>
              <w:left w:val="single" w:sz="4" w:space="0" w:color="auto"/>
              <w:bottom w:val="single" w:sz="4" w:space="0" w:color="auto"/>
              <w:right w:val="single" w:sz="4" w:space="0" w:color="auto"/>
            </w:tcBorders>
            <w:hideMark/>
          </w:tcPr>
          <w:p w14:paraId="3A34C632" w14:textId="77777777" w:rsidR="005713BA" w:rsidRDefault="005713BA">
            <w:pPr>
              <w:pStyle w:val="KeinLeerraum"/>
            </w:pPr>
            <w:r>
              <w:t>Wie werden die angedachten Maßnahmen kommuniziert?</w:t>
            </w:r>
          </w:p>
        </w:tc>
        <w:tc>
          <w:tcPr>
            <w:tcW w:w="4961" w:type="dxa"/>
            <w:tcBorders>
              <w:top w:val="single" w:sz="4" w:space="0" w:color="auto"/>
              <w:left w:val="single" w:sz="4" w:space="0" w:color="auto"/>
              <w:bottom w:val="single" w:sz="4" w:space="0" w:color="auto"/>
              <w:right w:val="single" w:sz="4" w:space="0" w:color="auto"/>
            </w:tcBorders>
            <w:hideMark/>
          </w:tcPr>
          <w:p w14:paraId="15A43586" w14:textId="77777777" w:rsidR="005713BA" w:rsidRDefault="005713BA" w:rsidP="005713BA">
            <w:pPr>
              <w:pStyle w:val="KeinLeerraum"/>
              <w:numPr>
                <w:ilvl w:val="0"/>
                <w:numId w:val="44"/>
              </w:numPr>
            </w:pPr>
            <w:r>
              <w:t>Nicht nur gute Informationen, Dokumente oder unterstützende Maßnahmen sind wichtig. Mindestens genauso wichtig ist, dass Sie diese kommunizieren. Gut geeignet sind Newsletter, die Sie beispielsweise einmal im Quartal verschicken. Hier können Sie nicht nur aktuelle Themen ansprechen. Sie können auch auf Intranetangebote und Schulungen hinweisen.</w:t>
            </w:r>
          </w:p>
          <w:p w14:paraId="57A6027C" w14:textId="77777777" w:rsidR="005713BA" w:rsidRDefault="005713BA" w:rsidP="005713BA">
            <w:pPr>
              <w:pStyle w:val="KeinLeerraum"/>
              <w:numPr>
                <w:ilvl w:val="0"/>
                <w:numId w:val="44"/>
              </w:numPr>
            </w:pPr>
            <w:r>
              <w:t>Wollen Sie Schulungen oder Sprechstunden anbieten, sollten Sie nicht nur mehrere Termine zur Auswahl bereithalten. Geben Sie die Termine auch frühzeitig bekannt, damit möglichst viele Interessierte die Teilnahme ermöglichen können.</w:t>
            </w:r>
          </w:p>
        </w:tc>
        <w:tc>
          <w:tcPr>
            <w:tcW w:w="1554" w:type="dxa"/>
            <w:tcBorders>
              <w:top w:val="single" w:sz="4" w:space="0" w:color="auto"/>
              <w:left w:val="single" w:sz="4" w:space="0" w:color="auto"/>
              <w:bottom w:val="single" w:sz="4" w:space="0" w:color="auto"/>
              <w:right w:val="single" w:sz="4" w:space="0" w:color="auto"/>
            </w:tcBorders>
            <w:hideMark/>
          </w:tcPr>
          <w:p w14:paraId="16BA40B7" w14:textId="77777777" w:rsidR="005713BA" w:rsidRDefault="005713BA">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5713BA" w14:paraId="27A60085" w14:textId="77777777" w:rsidTr="005713BA">
        <w:tc>
          <w:tcPr>
            <w:tcW w:w="9062"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02C757" w14:textId="77777777" w:rsidR="005713BA" w:rsidRDefault="005713BA">
            <w:pPr>
              <w:pStyle w:val="KeinLeerraum"/>
              <w:rPr>
                <w:b/>
                <w:bCs/>
              </w:rPr>
            </w:pPr>
            <w:r>
              <w:rPr>
                <w:b/>
                <w:bCs/>
              </w:rPr>
              <w:t>An die Umsetzung machen</w:t>
            </w:r>
          </w:p>
        </w:tc>
      </w:tr>
      <w:tr w:rsidR="005713BA" w14:paraId="256A7C17" w14:textId="77777777" w:rsidTr="005713BA">
        <w:tc>
          <w:tcPr>
            <w:tcW w:w="2547" w:type="dxa"/>
            <w:tcBorders>
              <w:top w:val="single" w:sz="4" w:space="0" w:color="auto"/>
              <w:left w:val="single" w:sz="4" w:space="0" w:color="auto"/>
              <w:bottom w:val="single" w:sz="4" w:space="0" w:color="auto"/>
              <w:right w:val="single" w:sz="4" w:space="0" w:color="auto"/>
            </w:tcBorders>
            <w:hideMark/>
          </w:tcPr>
          <w:p w14:paraId="266EA35C" w14:textId="77777777" w:rsidR="005713BA" w:rsidRDefault="005713BA">
            <w:pPr>
              <w:pStyle w:val="KeinLeerraum"/>
            </w:pPr>
            <w:r>
              <w:t>Liegt ein Plan für die Umsetzung vor?</w:t>
            </w:r>
          </w:p>
        </w:tc>
        <w:tc>
          <w:tcPr>
            <w:tcW w:w="4961" w:type="dxa"/>
            <w:tcBorders>
              <w:top w:val="single" w:sz="4" w:space="0" w:color="auto"/>
              <w:left w:val="single" w:sz="4" w:space="0" w:color="auto"/>
              <w:bottom w:val="single" w:sz="4" w:space="0" w:color="auto"/>
              <w:right w:val="single" w:sz="4" w:space="0" w:color="auto"/>
            </w:tcBorders>
            <w:hideMark/>
          </w:tcPr>
          <w:p w14:paraId="7D7DBBB9" w14:textId="77777777" w:rsidR="005713BA" w:rsidRDefault="005713BA" w:rsidP="005713BA">
            <w:pPr>
              <w:pStyle w:val="KeinLeerraum"/>
              <w:numPr>
                <w:ilvl w:val="0"/>
                <w:numId w:val="44"/>
              </w:numPr>
            </w:pPr>
            <w:r>
              <w:t>Überlegen Sie, was Sie in die Wege leiten und umsetzen müssen, um ein gutes Ergebnis zu erzielen.</w:t>
            </w:r>
          </w:p>
          <w:p w14:paraId="5B97B2B6" w14:textId="77777777" w:rsidR="005713BA" w:rsidRDefault="005713BA" w:rsidP="005713BA">
            <w:pPr>
              <w:pStyle w:val="KeinLeerraum"/>
              <w:numPr>
                <w:ilvl w:val="0"/>
                <w:numId w:val="44"/>
              </w:numPr>
            </w:pPr>
            <w:r>
              <w:t>Denken Sie auch immer über Alternativen nach. Manchmal muss man eben Abstriche am Ergebnis machen oder einen anderen Weg einschlagen.</w:t>
            </w:r>
          </w:p>
        </w:tc>
        <w:tc>
          <w:tcPr>
            <w:tcW w:w="1554" w:type="dxa"/>
            <w:tcBorders>
              <w:top w:val="single" w:sz="4" w:space="0" w:color="auto"/>
              <w:left w:val="single" w:sz="4" w:space="0" w:color="auto"/>
              <w:bottom w:val="single" w:sz="4" w:space="0" w:color="auto"/>
              <w:right w:val="single" w:sz="4" w:space="0" w:color="auto"/>
            </w:tcBorders>
            <w:hideMark/>
          </w:tcPr>
          <w:p w14:paraId="65AFD425" w14:textId="77777777" w:rsidR="005713BA" w:rsidRDefault="005713BA">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5713BA" w14:paraId="7B1BB263" w14:textId="77777777" w:rsidTr="005713BA">
        <w:tc>
          <w:tcPr>
            <w:tcW w:w="2547" w:type="dxa"/>
            <w:tcBorders>
              <w:top w:val="single" w:sz="4" w:space="0" w:color="auto"/>
              <w:left w:val="single" w:sz="4" w:space="0" w:color="auto"/>
              <w:bottom w:val="single" w:sz="4" w:space="0" w:color="auto"/>
              <w:right w:val="single" w:sz="4" w:space="0" w:color="auto"/>
            </w:tcBorders>
            <w:hideMark/>
          </w:tcPr>
          <w:p w14:paraId="0127405F" w14:textId="77777777" w:rsidR="005713BA" w:rsidRDefault="005713BA">
            <w:pPr>
              <w:pStyle w:val="KeinLeerraum"/>
            </w:pPr>
            <w:r>
              <w:t>Wer bzw. welche Ressourcen werden für die Umsetzung benötigt?</w:t>
            </w:r>
          </w:p>
        </w:tc>
        <w:tc>
          <w:tcPr>
            <w:tcW w:w="4961" w:type="dxa"/>
            <w:tcBorders>
              <w:top w:val="single" w:sz="4" w:space="0" w:color="auto"/>
              <w:left w:val="single" w:sz="4" w:space="0" w:color="auto"/>
              <w:bottom w:val="single" w:sz="4" w:space="0" w:color="auto"/>
              <w:right w:val="single" w:sz="4" w:space="0" w:color="auto"/>
            </w:tcBorders>
            <w:hideMark/>
          </w:tcPr>
          <w:p w14:paraId="59DD30F6" w14:textId="77777777" w:rsidR="005713BA" w:rsidRDefault="005713BA" w:rsidP="005713BA">
            <w:pPr>
              <w:pStyle w:val="KeinLeerraum"/>
              <w:numPr>
                <w:ilvl w:val="0"/>
                <w:numId w:val="45"/>
              </w:numPr>
            </w:pPr>
            <w:r>
              <w:t>Für dies oder jenes brauchen Sie die Unterstützung anderer Kollegen. Sprechen Sie diese frühzeitig an.</w:t>
            </w:r>
          </w:p>
          <w:p w14:paraId="15AC2CE8" w14:textId="77777777" w:rsidR="005713BA" w:rsidRDefault="005713BA" w:rsidP="005713BA">
            <w:pPr>
              <w:pStyle w:val="KeinLeerraum"/>
              <w:numPr>
                <w:ilvl w:val="0"/>
                <w:numId w:val="45"/>
              </w:numPr>
            </w:pPr>
            <w:r>
              <w:lastRenderedPageBreak/>
              <w:t>Sind Kosten unvermeidbar, sollten Sie die Deckung vorab klären. Denn leider gilt so oft: ohne Moos nix los.</w:t>
            </w:r>
          </w:p>
        </w:tc>
        <w:tc>
          <w:tcPr>
            <w:tcW w:w="1554" w:type="dxa"/>
            <w:tcBorders>
              <w:top w:val="single" w:sz="4" w:space="0" w:color="auto"/>
              <w:left w:val="single" w:sz="4" w:space="0" w:color="auto"/>
              <w:bottom w:val="single" w:sz="4" w:space="0" w:color="auto"/>
              <w:right w:val="single" w:sz="4" w:space="0" w:color="auto"/>
            </w:tcBorders>
            <w:hideMark/>
          </w:tcPr>
          <w:p w14:paraId="09436F91" w14:textId="77777777" w:rsidR="005713BA" w:rsidRDefault="005713BA">
            <w:pPr>
              <w:pStyle w:val="KeinLeerraum"/>
            </w:pPr>
            <w:r>
              <w:lastRenderedPageBreak/>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bl>
    <w:p w14:paraId="70978050" w14:textId="77777777" w:rsidR="005713BA" w:rsidRDefault="005713BA" w:rsidP="005713BA">
      <w:pPr>
        <w:pStyle w:val="KeinLeerraum"/>
      </w:pPr>
    </w:p>
    <w:p w14:paraId="7F22831B" w14:textId="77777777" w:rsidR="005713BA" w:rsidRDefault="005713BA" w:rsidP="005713BA"/>
    <w:p w14:paraId="31D50F89" w14:textId="4F0ACD49" w:rsidR="003D43CE" w:rsidRPr="005713BA" w:rsidRDefault="003D43CE" w:rsidP="005713BA"/>
    <w:sectPr w:rsidR="003D43CE" w:rsidRPr="005713BA">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6D796" w14:textId="77777777" w:rsidR="005F33E7" w:rsidRDefault="005F33E7" w:rsidP="00CC2216">
      <w:r>
        <w:separator/>
      </w:r>
    </w:p>
  </w:endnote>
  <w:endnote w:type="continuationSeparator" w:id="0">
    <w:p w14:paraId="5BAF0096" w14:textId="77777777" w:rsidR="005F33E7" w:rsidRDefault="005F33E7"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8A991" w14:textId="77777777" w:rsidR="005F33E7" w:rsidRDefault="005F33E7" w:rsidP="00CC2216">
      <w:r>
        <w:separator/>
      </w:r>
    </w:p>
  </w:footnote>
  <w:footnote w:type="continuationSeparator" w:id="0">
    <w:p w14:paraId="558F924D" w14:textId="77777777" w:rsidR="005F33E7" w:rsidRDefault="005F33E7"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72AEA"/>
    <w:multiLevelType w:val="hybridMultilevel"/>
    <w:tmpl w:val="041E4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4E3ED9"/>
    <w:multiLevelType w:val="hybridMultilevel"/>
    <w:tmpl w:val="897CDC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36A379E"/>
    <w:multiLevelType w:val="hybridMultilevel"/>
    <w:tmpl w:val="D5B4E9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4C65906"/>
    <w:multiLevelType w:val="hybridMultilevel"/>
    <w:tmpl w:val="1E24BE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054E414E"/>
    <w:multiLevelType w:val="hybridMultilevel"/>
    <w:tmpl w:val="0128D6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67B4ADC"/>
    <w:multiLevelType w:val="hybridMultilevel"/>
    <w:tmpl w:val="22684BD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07115491"/>
    <w:multiLevelType w:val="hybridMultilevel"/>
    <w:tmpl w:val="24122B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0B1674B4"/>
    <w:multiLevelType w:val="hybridMultilevel"/>
    <w:tmpl w:val="EBCA5B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0E575EEA"/>
    <w:multiLevelType w:val="hybridMultilevel"/>
    <w:tmpl w:val="1DDCCE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F6B3CB3"/>
    <w:multiLevelType w:val="hybridMultilevel"/>
    <w:tmpl w:val="D6FE84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35670AD"/>
    <w:multiLevelType w:val="hybridMultilevel"/>
    <w:tmpl w:val="E3D4CE5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16974FC8"/>
    <w:multiLevelType w:val="hybridMultilevel"/>
    <w:tmpl w:val="C5EC86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75A0694"/>
    <w:multiLevelType w:val="hybridMultilevel"/>
    <w:tmpl w:val="F7006F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 w15:restartNumberingAfterBreak="0">
    <w:nsid w:val="1C552B65"/>
    <w:multiLevelType w:val="hybridMultilevel"/>
    <w:tmpl w:val="080AE9A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5" w15:restartNumberingAfterBreak="0">
    <w:nsid w:val="1D3407B5"/>
    <w:multiLevelType w:val="hybridMultilevel"/>
    <w:tmpl w:val="A13642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4545C9B"/>
    <w:multiLevelType w:val="hybridMultilevel"/>
    <w:tmpl w:val="DD9C4B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7076467"/>
    <w:multiLevelType w:val="hybridMultilevel"/>
    <w:tmpl w:val="2CFC31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DDC199A"/>
    <w:multiLevelType w:val="hybridMultilevel"/>
    <w:tmpl w:val="C1DA77E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15:restartNumberingAfterBreak="0">
    <w:nsid w:val="3175022E"/>
    <w:multiLevelType w:val="hybridMultilevel"/>
    <w:tmpl w:val="D9A641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259342A"/>
    <w:multiLevelType w:val="hybridMultilevel"/>
    <w:tmpl w:val="FA7892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D6B6432"/>
    <w:multiLevelType w:val="hybridMultilevel"/>
    <w:tmpl w:val="CBECB1D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2" w15:restartNumberingAfterBreak="0">
    <w:nsid w:val="3EB614E7"/>
    <w:multiLevelType w:val="hybridMultilevel"/>
    <w:tmpl w:val="18B89B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0997ACE"/>
    <w:multiLevelType w:val="hybridMultilevel"/>
    <w:tmpl w:val="F58A4A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6893009"/>
    <w:multiLevelType w:val="hybridMultilevel"/>
    <w:tmpl w:val="996C3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76C355C"/>
    <w:multiLevelType w:val="hybridMultilevel"/>
    <w:tmpl w:val="74AA3F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868732E"/>
    <w:multiLevelType w:val="hybridMultilevel"/>
    <w:tmpl w:val="F77E50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9A61CEF"/>
    <w:multiLevelType w:val="hybridMultilevel"/>
    <w:tmpl w:val="573056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A34742A"/>
    <w:multiLevelType w:val="hybridMultilevel"/>
    <w:tmpl w:val="831419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FCA4FE8"/>
    <w:multiLevelType w:val="hybridMultilevel"/>
    <w:tmpl w:val="803011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4A76268"/>
    <w:multiLevelType w:val="hybridMultilevel"/>
    <w:tmpl w:val="E8B272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8201C62"/>
    <w:multiLevelType w:val="hybridMultilevel"/>
    <w:tmpl w:val="0EA07B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B853BDB"/>
    <w:multiLevelType w:val="hybridMultilevel"/>
    <w:tmpl w:val="F6769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5BBA3349"/>
    <w:multiLevelType w:val="hybridMultilevel"/>
    <w:tmpl w:val="68B2D1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BBC0AC8"/>
    <w:multiLevelType w:val="hybridMultilevel"/>
    <w:tmpl w:val="815AD9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5" w15:restartNumberingAfterBreak="0">
    <w:nsid w:val="6590016F"/>
    <w:multiLevelType w:val="hybridMultilevel"/>
    <w:tmpl w:val="4EF45F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5C040E5"/>
    <w:multiLevelType w:val="hybridMultilevel"/>
    <w:tmpl w:val="967475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B044730"/>
    <w:multiLevelType w:val="hybridMultilevel"/>
    <w:tmpl w:val="7CA2F0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6C651D04"/>
    <w:multiLevelType w:val="hybridMultilevel"/>
    <w:tmpl w:val="A32A0C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6D00563F"/>
    <w:multiLevelType w:val="hybridMultilevel"/>
    <w:tmpl w:val="814E34E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0" w15:restartNumberingAfterBreak="0">
    <w:nsid w:val="6D2320E0"/>
    <w:multiLevelType w:val="hybridMultilevel"/>
    <w:tmpl w:val="C0367D3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1" w15:restartNumberingAfterBreak="0">
    <w:nsid w:val="75DA71C8"/>
    <w:multiLevelType w:val="hybridMultilevel"/>
    <w:tmpl w:val="C41854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9115581"/>
    <w:multiLevelType w:val="hybridMultilevel"/>
    <w:tmpl w:val="1FC2B2C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3" w15:restartNumberingAfterBreak="0">
    <w:nsid w:val="7D810583"/>
    <w:multiLevelType w:val="hybridMultilevel"/>
    <w:tmpl w:val="511872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7EB83ED2"/>
    <w:multiLevelType w:val="hybridMultilevel"/>
    <w:tmpl w:val="61D800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 w:numId="2">
    <w:abstractNumId w:val="22"/>
  </w:num>
  <w:num w:numId="3">
    <w:abstractNumId w:val="30"/>
  </w:num>
  <w:num w:numId="4">
    <w:abstractNumId w:val="41"/>
  </w:num>
  <w:num w:numId="5">
    <w:abstractNumId w:val="16"/>
  </w:num>
  <w:num w:numId="6">
    <w:abstractNumId w:val="20"/>
  </w:num>
  <w:num w:numId="7">
    <w:abstractNumId w:val="36"/>
  </w:num>
  <w:num w:numId="8">
    <w:abstractNumId w:val="9"/>
  </w:num>
  <w:num w:numId="9">
    <w:abstractNumId w:val="27"/>
  </w:num>
  <w:num w:numId="10">
    <w:abstractNumId w:val="19"/>
  </w:num>
  <w:num w:numId="11">
    <w:abstractNumId w:val="38"/>
  </w:num>
  <w:num w:numId="12">
    <w:abstractNumId w:val="25"/>
  </w:num>
  <w:num w:numId="13">
    <w:abstractNumId w:val="12"/>
  </w:num>
  <w:num w:numId="14">
    <w:abstractNumId w:val="15"/>
  </w:num>
  <w:num w:numId="15">
    <w:abstractNumId w:val="5"/>
  </w:num>
  <w:num w:numId="16">
    <w:abstractNumId w:val="2"/>
  </w:num>
  <w:num w:numId="17">
    <w:abstractNumId w:val="31"/>
  </w:num>
  <w:num w:numId="18">
    <w:abstractNumId w:val="1"/>
  </w:num>
  <w:num w:numId="19">
    <w:abstractNumId w:val="3"/>
  </w:num>
  <w:num w:numId="20">
    <w:abstractNumId w:val="23"/>
  </w:num>
  <w:num w:numId="21">
    <w:abstractNumId w:val="29"/>
  </w:num>
  <w:num w:numId="22">
    <w:abstractNumId w:val="10"/>
  </w:num>
  <w:num w:numId="23">
    <w:abstractNumId w:val="43"/>
  </w:num>
  <w:num w:numId="24">
    <w:abstractNumId w:val="24"/>
  </w:num>
  <w:num w:numId="25">
    <w:abstractNumId w:val="28"/>
  </w:num>
  <w:num w:numId="26">
    <w:abstractNumId w:val="33"/>
  </w:num>
  <w:num w:numId="27">
    <w:abstractNumId w:val="17"/>
  </w:num>
  <w:num w:numId="28">
    <w:abstractNumId w:val="26"/>
  </w:num>
  <w:num w:numId="29">
    <w:abstractNumId w:val="35"/>
  </w:num>
  <w:num w:numId="30">
    <w:abstractNumId w:val="32"/>
  </w:num>
  <w:num w:numId="31">
    <w:abstractNumId w:val="37"/>
  </w:num>
  <w:num w:numId="32">
    <w:abstractNumId w:val="4"/>
    <w:lvlOverride w:ilvl="0"/>
    <w:lvlOverride w:ilvl="1"/>
    <w:lvlOverride w:ilvl="2"/>
    <w:lvlOverride w:ilvl="3"/>
    <w:lvlOverride w:ilvl="4"/>
    <w:lvlOverride w:ilvl="5"/>
    <w:lvlOverride w:ilvl="6"/>
    <w:lvlOverride w:ilvl="7"/>
    <w:lvlOverride w:ilvl="8"/>
  </w:num>
  <w:num w:numId="33">
    <w:abstractNumId w:val="21"/>
    <w:lvlOverride w:ilvl="0"/>
    <w:lvlOverride w:ilvl="1"/>
    <w:lvlOverride w:ilvl="2"/>
    <w:lvlOverride w:ilvl="3"/>
    <w:lvlOverride w:ilvl="4"/>
    <w:lvlOverride w:ilvl="5"/>
    <w:lvlOverride w:ilvl="6"/>
    <w:lvlOverride w:ilvl="7"/>
    <w:lvlOverride w:ilvl="8"/>
  </w:num>
  <w:num w:numId="34">
    <w:abstractNumId w:val="18"/>
    <w:lvlOverride w:ilvl="0"/>
    <w:lvlOverride w:ilvl="1"/>
    <w:lvlOverride w:ilvl="2"/>
    <w:lvlOverride w:ilvl="3"/>
    <w:lvlOverride w:ilvl="4"/>
    <w:lvlOverride w:ilvl="5"/>
    <w:lvlOverride w:ilvl="6"/>
    <w:lvlOverride w:ilvl="7"/>
    <w:lvlOverride w:ilvl="8"/>
  </w:num>
  <w:num w:numId="35">
    <w:abstractNumId w:val="40"/>
    <w:lvlOverride w:ilvl="0"/>
    <w:lvlOverride w:ilvl="1"/>
    <w:lvlOverride w:ilvl="2"/>
    <w:lvlOverride w:ilvl="3"/>
    <w:lvlOverride w:ilvl="4"/>
    <w:lvlOverride w:ilvl="5"/>
    <w:lvlOverride w:ilvl="6"/>
    <w:lvlOverride w:ilvl="7"/>
    <w:lvlOverride w:ilvl="8"/>
  </w:num>
  <w:num w:numId="36">
    <w:abstractNumId w:val="42"/>
    <w:lvlOverride w:ilvl="0"/>
    <w:lvlOverride w:ilvl="1"/>
    <w:lvlOverride w:ilvl="2"/>
    <w:lvlOverride w:ilvl="3"/>
    <w:lvlOverride w:ilvl="4"/>
    <w:lvlOverride w:ilvl="5"/>
    <w:lvlOverride w:ilvl="6"/>
    <w:lvlOverride w:ilvl="7"/>
    <w:lvlOverride w:ilvl="8"/>
  </w:num>
  <w:num w:numId="37">
    <w:abstractNumId w:val="13"/>
    <w:lvlOverride w:ilvl="0"/>
    <w:lvlOverride w:ilvl="1"/>
    <w:lvlOverride w:ilvl="2"/>
    <w:lvlOverride w:ilvl="3"/>
    <w:lvlOverride w:ilvl="4"/>
    <w:lvlOverride w:ilvl="5"/>
    <w:lvlOverride w:ilvl="6"/>
    <w:lvlOverride w:ilvl="7"/>
    <w:lvlOverride w:ilvl="8"/>
  </w:num>
  <w:num w:numId="38">
    <w:abstractNumId w:val="7"/>
    <w:lvlOverride w:ilvl="0"/>
    <w:lvlOverride w:ilvl="1"/>
    <w:lvlOverride w:ilvl="2"/>
    <w:lvlOverride w:ilvl="3"/>
    <w:lvlOverride w:ilvl="4"/>
    <w:lvlOverride w:ilvl="5"/>
    <w:lvlOverride w:ilvl="6"/>
    <w:lvlOverride w:ilvl="7"/>
    <w:lvlOverride w:ilvl="8"/>
  </w:num>
  <w:num w:numId="39">
    <w:abstractNumId w:val="6"/>
    <w:lvlOverride w:ilvl="0"/>
    <w:lvlOverride w:ilvl="1"/>
    <w:lvlOverride w:ilvl="2"/>
    <w:lvlOverride w:ilvl="3"/>
    <w:lvlOverride w:ilvl="4"/>
    <w:lvlOverride w:ilvl="5"/>
    <w:lvlOverride w:ilvl="6"/>
    <w:lvlOverride w:ilvl="7"/>
    <w:lvlOverride w:ilvl="8"/>
  </w:num>
  <w:num w:numId="40">
    <w:abstractNumId w:val="39"/>
    <w:lvlOverride w:ilvl="0"/>
    <w:lvlOverride w:ilvl="1"/>
    <w:lvlOverride w:ilvl="2"/>
    <w:lvlOverride w:ilvl="3"/>
    <w:lvlOverride w:ilvl="4"/>
    <w:lvlOverride w:ilvl="5"/>
    <w:lvlOverride w:ilvl="6"/>
    <w:lvlOverride w:ilvl="7"/>
    <w:lvlOverride w:ilvl="8"/>
  </w:num>
  <w:num w:numId="41">
    <w:abstractNumId w:val="44"/>
    <w:lvlOverride w:ilvl="0"/>
    <w:lvlOverride w:ilvl="1"/>
    <w:lvlOverride w:ilvl="2"/>
    <w:lvlOverride w:ilvl="3"/>
    <w:lvlOverride w:ilvl="4"/>
    <w:lvlOverride w:ilvl="5"/>
    <w:lvlOverride w:ilvl="6"/>
    <w:lvlOverride w:ilvl="7"/>
    <w:lvlOverride w:ilvl="8"/>
  </w:num>
  <w:num w:numId="42">
    <w:abstractNumId w:val="34"/>
    <w:lvlOverride w:ilvl="0"/>
    <w:lvlOverride w:ilvl="1"/>
    <w:lvlOverride w:ilvl="2"/>
    <w:lvlOverride w:ilvl="3"/>
    <w:lvlOverride w:ilvl="4"/>
    <w:lvlOverride w:ilvl="5"/>
    <w:lvlOverride w:ilvl="6"/>
    <w:lvlOverride w:ilvl="7"/>
    <w:lvlOverride w:ilvl="8"/>
  </w:num>
  <w:num w:numId="43">
    <w:abstractNumId w:val="14"/>
    <w:lvlOverride w:ilvl="0"/>
    <w:lvlOverride w:ilvl="1"/>
    <w:lvlOverride w:ilvl="2"/>
    <w:lvlOverride w:ilvl="3"/>
    <w:lvlOverride w:ilvl="4"/>
    <w:lvlOverride w:ilvl="5"/>
    <w:lvlOverride w:ilvl="6"/>
    <w:lvlOverride w:ilvl="7"/>
    <w:lvlOverride w:ilvl="8"/>
  </w:num>
  <w:num w:numId="44">
    <w:abstractNumId w:val="11"/>
    <w:lvlOverride w:ilvl="0"/>
    <w:lvlOverride w:ilvl="1"/>
    <w:lvlOverride w:ilvl="2"/>
    <w:lvlOverride w:ilvl="3"/>
    <w:lvlOverride w:ilvl="4"/>
    <w:lvlOverride w:ilvl="5"/>
    <w:lvlOverride w:ilvl="6"/>
    <w:lvlOverride w:ilvl="7"/>
    <w:lvlOverride w:ilvl="8"/>
  </w:num>
  <w:num w:numId="45">
    <w:abstractNumId w:val="8"/>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80A7A"/>
    <w:rsid w:val="003850FA"/>
    <w:rsid w:val="003D062A"/>
    <w:rsid w:val="003D43CE"/>
    <w:rsid w:val="003D56D7"/>
    <w:rsid w:val="003E3F1E"/>
    <w:rsid w:val="003E47CA"/>
    <w:rsid w:val="003E52CE"/>
    <w:rsid w:val="00432E27"/>
    <w:rsid w:val="0044072D"/>
    <w:rsid w:val="0045191E"/>
    <w:rsid w:val="0045281F"/>
    <w:rsid w:val="004C6F64"/>
    <w:rsid w:val="004C79F3"/>
    <w:rsid w:val="005105F0"/>
    <w:rsid w:val="00510962"/>
    <w:rsid w:val="00525077"/>
    <w:rsid w:val="005713BA"/>
    <w:rsid w:val="005717AA"/>
    <w:rsid w:val="005A6A71"/>
    <w:rsid w:val="005C5465"/>
    <w:rsid w:val="005F33E7"/>
    <w:rsid w:val="006251E4"/>
    <w:rsid w:val="00651E4C"/>
    <w:rsid w:val="00696A56"/>
    <w:rsid w:val="0072310B"/>
    <w:rsid w:val="0079027C"/>
    <w:rsid w:val="007A004E"/>
    <w:rsid w:val="007E15BB"/>
    <w:rsid w:val="00996806"/>
    <w:rsid w:val="00AB25D6"/>
    <w:rsid w:val="00AC39D5"/>
    <w:rsid w:val="00B367BE"/>
    <w:rsid w:val="00B77FBA"/>
    <w:rsid w:val="00BB0D08"/>
    <w:rsid w:val="00BE0F4E"/>
    <w:rsid w:val="00C863DD"/>
    <w:rsid w:val="00CA2D6D"/>
    <w:rsid w:val="00CB13B2"/>
    <w:rsid w:val="00CC2216"/>
    <w:rsid w:val="00D17A03"/>
    <w:rsid w:val="00D66349"/>
    <w:rsid w:val="00DC69D7"/>
    <w:rsid w:val="00ED1004"/>
    <w:rsid w:val="00ED7B89"/>
    <w:rsid w:val="00FB5724"/>
    <w:rsid w:val="00FD1980"/>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 w:id="18005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9F6E8-AB62-4400-BDA8-23707CAE1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1237</Words>
  <Characters>7796</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2026-03-16T09:53:00Z</dcterms:created>
  <dcterms:modified xsi:type="dcterms:W3CDTF">2026-03-16T09:53:00Z</dcterms:modified>
</cp:coreProperties>
</file>