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320" w14:textId="77777777" w:rsidR="00670E8C" w:rsidRPr="009C6523" w:rsidRDefault="00670E8C" w:rsidP="00670E8C">
      <w:pPr>
        <w:pStyle w:val="berschrift1"/>
      </w:pPr>
      <w:r w:rsidRPr="009C6523">
        <w:rPr>
          <w:color w:val="3A3A3A"/>
        </w:rPr>
        <w:t>Muster: Datenschutz-Kurzrichtlinie für neue Mitarbeiter</w:t>
      </w:r>
    </w:p>
    <w:p w14:paraId="59620052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Diese Kurzrichtlinie ergänzt umfangreiche Datenschutzhandbücher und fasst die wichtigsten Vorgaben kurz zusammen.</w:t>
      </w:r>
    </w:p>
    <w:p w14:paraId="1FB320A2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1. Nutzung von Künstlicher Intelligenz (KI)</w:t>
      </w:r>
    </w:p>
    <w:p w14:paraId="35F7AE56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Nur genehmigte KI-Systeme nutzen</w:t>
      </w:r>
    </w:p>
    <w:p w14:paraId="79E7D7A7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privaten KI-Tools für dienstliche Zwecke einsetzen</w:t>
      </w:r>
    </w:p>
    <w:p w14:paraId="4E492DA2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sensiblen und personenbezogenen Daten eingeben</w:t>
      </w:r>
    </w:p>
    <w:p w14:paraId="68688561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Betriebs- oder Geschäftsgeheimnisse eingeben</w:t>
      </w:r>
    </w:p>
    <w:p w14:paraId="0CD1B8CD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KI-Training deaktivieren</w:t>
      </w:r>
    </w:p>
    <w:p w14:paraId="64AB4CCA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Bei Unsicherheit immer Rücksprache mit DSB/DST halten</w:t>
      </w:r>
    </w:p>
    <w:p w14:paraId="1AADC3B1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2. Mobiles Arbeiten (Homeoffice, Außendienst etc.)</w:t>
      </w:r>
    </w:p>
    <w:p w14:paraId="17391CC5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Nur genehmigte Hard- und Software nutzen</w:t>
      </w:r>
    </w:p>
    <w:p w14:paraId="05115F47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Daten auf zentralen Servern speichern, nicht lokal</w:t>
      </w:r>
    </w:p>
    <w:p w14:paraId="0680D2A1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Mobile Geräte verschlüsseln</w:t>
      </w:r>
    </w:p>
    <w:p w14:paraId="171D27EF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privaten Geräte nutzen</w:t>
      </w:r>
    </w:p>
    <w:p w14:paraId="5491AD33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Arbeitsplatz vor unbefugtem Zugriff schützen</w:t>
      </w:r>
    </w:p>
    <w:p w14:paraId="73AE7243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Bei Verlust/Diebstahl sofort DST informieren</w:t>
      </w:r>
    </w:p>
    <w:p w14:paraId="06627465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Clean-Desk-Prinzip beachten</w:t>
      </w:r>
    </w:p>
    <w:p w14:paraId="0A180A81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vertraulichen Telefonate in öffentlicher Umgebung</w:t>
      </w:r>
    </w:p>
    <w:p w14:paraId="5757B919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3. Clean-Desk (Ordnung am Arbeitsplatz)</w:t>
      </w:r>
    </w:p>
    <w:p w14:paraId="5B64E3CC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sensiblen Dokumente offen liegen lassen</w:t>
      </w:r>
    </w:p>
    <w:p w14:paraId="488402A5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Papierunterlagen sicher verschließen</w:t>
      </w:r>
    </w:p>
    <w:p w14:paraId="0B663F3F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Bildschirme sperren beim Verlassen</w:t>
      </w:r>
    </w:p>
    <w:p w14:paraId="6C951C6A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In Meetingräumen keine sensiblen Daten sichtbar lassen</w:t>
      </w:r>
    </w:p>
    <w:p w14:paraId="2F70081E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4. Umgang mit Betroffenenrechten</w:t>
      </w:r>
    </w:p>
    <w:p w14:paraId="77F4393E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Anfragen sofort an DST weiterleiten</w:t>
      </w:r>
    </w:p>
    <w:p w14:paraId="6F44F143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eigenen Auskünfte oder Löschungen durchführen</w:t>
      </w:r>
    </w:p>
    <w:p w14:paraId="42E88D5A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Identität der Anfragenden prüfen</w:t>
      </w:r>
    </w:p>
    <w:p w14:paraId="6E8392D4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lastRenderedPageBreak/>
        <w:t>• Reaktionszeit: unverzüglich, spätestens 1 Monat</w:t>
      </w:r>
    </w:p>
    <w:p w14:paraId="48A4C6C0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5. Vorgehen bei einem Datenschutzvorfall</w:t>
      </w:r>
    </w:p>
    <w:p w14:paraId="746997C7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Verdacht sofort an DST melden</w:t>
      </w:r>
    </w:p>
    <w:p w14:paraId="11F099F1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eigenen Untersuchungen starten</w:t>
      </w:r>
    </w:p>
    <w:p w14:paraId="564E74B6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Frist: 72 Stunden für Meldung an Aufsichtsbehörde</w:t>
      </w:r>
    </w:p>
    <w:p w14:paraId="1AE052DF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Beispiele: Verlust von Geräten/Daten, Hackerangriffe, Missbrauch von Zugangsdaten</w:t>
      </w:r>
    </w:p>
    <w:p w14:paraId="2AD7E5F1" w14:textId="77777777" w:rsidR="00670E8C" w:rsidRPr="009C6523" w:rsidRDefault="00670E8C" w:rsidP="00670E8C">
      <w:pPr>
        <w:pStyle w:val="berschrift2"/>
      </w:pPr>
      <w:r w:rsidRPr="009C6523">
        <w:rPr>
          <w:color w:val="3A3A3A"/>
        </w:rPr>
        <w:t>6. Löschfristen und Datenlöschung</w:t>
      </w:r>
    </w:p>
    <w:p w14:paraId="379D197B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Daten nur so lange speichern wie erforderlich</w:t>
      </w:r>
    </w:p>
    <w:p w14:paraId="20E74FBD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Löschfristen im Löschkonzept geregelt</w:t>
      </w:r>
    </w:p>
    <w:p w14:paraId="64EAC725" w14:textId="77777777" w:rsidR="00670E8C" w:rsidRPr="009C6523" w:rsidRDefault="00670E8C" w:rsidP="00670E8C">
      <w:pPr>
        <w:rPr>
          <w:lang w:val="de-DE"/>
        </w:rPr>
      </w:pPr>
      <w:r w:rsidRPr="009C6523">
        <w:rPr>
          <w:lang w:val="de-DE"/>
        </w:rPr>
        <w:t>• Keine Löschung auf privaten Speichermedien</w:t>
      </w:r>
    </w:p>
    <w:p w14:paraId="1DE6CD35" w14:textId="77777777" w:rsidR="00670E8C" w:rsidRDefault="00670E8C" w:rsidP="00670E8C">
      <w:r>
        <w:t xml:space="preserve">• </w:t>
      </w:r>
      <w:proofErr w:type="spellStart"/>
      <w:r>
        <w:t>Löschanfragen</w:t>
      </w:r>
      <w:proofErr w:type="spellEnd"/>
      <w:r>
        <w:t xml:space="preserve"> an DST </w:t>
      </w:r>
      <w:proofErr w:type="spellStart"/>
      <w:r>
        <w:t>weiterleiten</w:t>
      </w:r>
      <w:proofErr w:type="spellEnd"/>
    </w:p>
    <w:p w14:paraId="6FCD7056" w14:textId="77777777" w:rsidR="00001074" w:rsidRPr="00670E8C" w:rsidRDefault="00001074" w:rsidP="00670E8C"/>
    <w:sectPr w:rsidR="00001074" w:rsidRPr="00670E8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5B62" w14:textId="77777777" w:rsidR="0083213D" w:rsidRDefault="0083213D" w:rsidP="007F6464">
      <w:pPr>
        <w:spacing w:after="0" w:line="240" w:lineRule="auto"/>
      </w:pPr>
      <w:r>
        <w:separator/>
      </w:r>
    </w:p>
  </w:endnote>
  <w:endnote w:type="continuationSeparator" w:id="0">
    <w:p w14:paraId="48D0445D" w14:textId="77777777" w:rsidR="0083213D" w:rsidRDefault="0083213D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EA0F" w14:textId="77777777" w:rsidR="0083213D" w:rsidRDefault="0083213D" w:rsidP="007F6464">
      <w:pPr>
        <w:spacing w:after="0" w:line="240" w:lineRule="auto"/>
      </w:pPr>
      <w:r>
        <w:separator/>
      </w:r>
    </w:p>
  </w:footnote>
  <w:footnote w:type="continuationSeparator" w:id="0">
    <w:p w14:paraId="53F75E77" w14:textId="77777777" w:rsidR="0083213D" w:rsidRDefault="0083213D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2A6996"/>
    <w:rsid w:val="004427C5"/>
    <w:rsid w:val="00587F6F"/>
    <w:rsid w:val="005E00BB"/>
    <w:rsid w:val="00670E8C"/>
    <w:rsid w:val="007F6464"/>
    <w:rsid w:val="00811BEB"/>
    <w:rsid w:val="0083213D"/>
    <w:rsid w:val="00BE6E85"/>
    <w:rsid w:val="00C678BC"/>
    <w:rsid w:val="00DE1056"/>
    <w:rsid w:val="00DE7784"/>
    <w:rsid w:val="00E9149E"/>
    <w:rsid w:val="00F4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149E"/>
    <w:rPr>
      <w:rFonts w:eastAsiaTheme="minorEastAsia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rFonts w:eastAsiaTheme="minorHAnsi"/>
      <w:i/>
      <w:iCs/>
      <w:color w:val="404040" w:themeColor="text1" w:themeTint="BF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  <w:rPr>
      <w:rFonts w:eastAsiaTheme="minorHAnsi"/>
      <w:lang w:val="de-DE" w:eastAsia="en-US"/>
    </w:r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FJR - Franziska Rohrbach</cp:lastModifiedBy>
  <cp:revision>2</cp:revision>
  <dcterms:created xsi:type="dcterms:W3CDTF">2026-03-31T17:02:00Z</dcterms:created>
  <dcterms:modified xsi:type="dcterms:W3CDTF">2026-03-31T17:02:00Z</dcterms:modified>
</cp:coreProperties>
</file>