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9B01B4" w14:textId="77777777" w:rsidR="006572EE" w:rsidRPr="009E176C" w:rsidRDefault="006572EE" w:rsidP="006572EE">
      <w:pPr>
        <w:rPr>
          <w:rFonts w:ascii="Arial" w:eastAsia="Calibri" w:hAnsi="Arial" w:cs="Times New Roman"/>
          <w:b/>
          <w:bCs/>
          <w:sz w:val="20"/>
        </w:rPr>
      </w:pPr>
      <w:r w:rsidRPr="009E176C">
        <w:rPr>
          <w:rFonts w:ascii="Arial" w:eastAsia="Calibri" w:hAnsi="Arial" w:cs="Times New Roman"/>
          <w:b/>
          <w:bCs/>
          <w:sz w:val="20"/>
        </w:rPr>
        <w:t xml:space="preserve">Checkliste: </w:t>
      </w:r>
      <w:bookmarkStart w:id="0" w:name="_GoBack"/>
      <w:r w:rsidRPr="009E176C">
        <w:rPr>
          <w:rFonts w:ascii="Arial" w:eastAsia="Calibri" w:hAnsi="Arial" w:cs="Times New Roman"/>
          <w:b/>
          <w:bCs/>
          <w:sz w:val="20"/>
        </w:rPr>
        <w:t>Datenschutzgrundsätze in der Erstberatung</w:t>
      </w:r>
      <w:bookmarkEnd w:id="0"/>
    </w:p>
    <w:p w14:paraId="059D5AF1" w14:textId="77777777" w:rsidR="006572EE" w:rsidRPr="009E176C" w:rsidRDefault="006572EE" w:rsidP="006572EE">
      <w:pPr>
        <w:rPr>
          <w:rFonts w:ascii="Arial" w:eastAsia="Calibri" w:hAnsi="Arial" w:cs="Times New Roman"/>
          <w:sz w:val="20"/>
        </w:rPr>
      </w:pPr>
    </w:p>
    <w:tbl>
      <w:tblPr>
        <w:tblStyle w:val="Tabellenraster"/>
        <w:tblW w:w="0" w:type="auto"/>
        <w:tblLook w:val="04A0" w:firstRow="1" w:lastRow="0" w:firstColumn="1" w:lastColumn="0" w:noHBand="0" w:noVBand="1"/>
      </w:tblPr>
      <w:tblGrid>
        <w:gridCol w:w="2062"/>
        <w:gridCol w:w="4072"/>
        <w:gridCol w:w="2928"/>
      </w:tblGrid>
      <w:tr w:rsidR="006572EE" w:rsidRPr="009E176C" w14:paraId="665C5002" w14:textId="77777777" w:rsidTr="0049429D">
        <w:tc>
          <w:tcPr>
            <w:tcW w:w="2062" w:type="dxa"/>
            <w:shd w:val="clear" w:color="auto" w:fill="DBE5F1"/>
          </w:tcPr>
          <w:p w14:paraId="00B68F78" w14:textId="77777777" w:rsidR="006572EE" w:rsidRPr="009E176C" w:rsidRDefault="006572EE" w:rsidP="0049429D">
            <w:pPr>
              <w:rPr>
                <w:rFonts w:ascii="Arial" w:eastAsia="Calibri" w:hAnsi="Arial" w:cs="Times New Roman"/>
                <w:b/>
                <w:bCs/>
                <w:sz w:val="20"/>
              </w:rPr>
            </w:pPr>
            <w:r w:rsidRPr="009E176C">
              <w:rPr>
                <w:rFonts w:ascii="Arial" w:eastAsia="Calibri" w:hAnsi="Arial" w:cs="Times New Roman"/>
                <w:b/>
                <w:bCs/>
                <w:sz w:val="20"/>
              </w:rPr>
              <w:t>Grundsatz</w:t>
            </w:r>
          </w:p>
        </w:tc>
        <w:tc>
          <w:tcPr>
            <w:tcW w:w="4072" w:type="dxa"/>
            <w:shd w:val="clear" w:color="auto" w:fill="DBE5F1"/>
          </w:tcPr>
          <w:p w14:paraId="76AA9FBE" w14:textId="77777777" w:rsidR="006572EE" w:rsidRPr="009E176C" w:rsidRDefault="006572EE" w:rsidP="0049429D">
            <w:pPr>
              <w:rPr>
                <w:rFonts w:ascii="Arial" w:eastAsia="Calibri" w:hAnsi="Arial" w:cs="Times New Roman"/>
                <w:b/>
                <w:bCs/>
                <w:sz w:val="20"/>
              </w:rPr>
            </w:pPr>
            <w:r w:rsidRPr="009E176C">
              <w:rPr>
                <w:rFonts w:ascii="Arial" w:eastAsia="Calibri" w:hAnsi="Arial" w:cs="Times New Roman"/>
                <w:b/>
                <w:bCs/>
                <w:sz w:val="20"/>
              </w:rPr>
              <w:t>Das steckt dahinter</w:t>
            </w:r>
          </w:p>
        </w:tc>
        <w:tc>
          <w:tcPr>
            <w:tcW w:w="2928" w:type="dxa"/>
            <w:shd w:val="clear" w:color="auto" w:fill="DBE5F1"/>
          </w:tcPr>
          <w:p w14:paraId="0ABF423A" w14:textId="77777777" w:rsidR="006572EE" w:rsidRPr="009E176C" w:rsidRDefault="006572EE" w:rsidP="0049429D">
            <w:pPr>
              <w:rPr>
                <w:rFonts w:ascii="Arial" w:eastAsia="Calibri" w:hAnsi="Arial" w:cs="Times New Roman"/>
                <w:b/>
                <w:bCs/>
                <w:sz w:val="20"/>
              </w:rPr>
            </w:pPr>
            <w:r w:rsidRPr="009E176C">
              <w:rPr>
                <w:rFonts w:ascii="Arial" w:eastAsia="Calibri" w:hAnsi="Arial" w:cs="Times New Roman"/>
                <w:b/>
                <w:bCs/>
                <w:sz w:val="20"/>
              </w:rPr>
              <w:t>Typische Fragen</w:t>
            </w:r>
          </w:p>
        </w:tc>
      </w:tr>
      <w:tr w:rsidR="006572EE" w:rsidRPr="009E176C" w14:paraId="692D1901" w14:textId="77777777" w:rsidTr="0049429D">
        <w:tc>
          <w:tcPr>
            <w:tcW w:w="2062" w:type="dxa"/>
          </w:tcPr>
          <w:p w14:paraId="7E764B9E" w14:textId="77777777" w:rsidR="006572EE" w:rsidRPr="009E176C" w:rsidRDefault="006572EE" w:rsidP="0049429D">
            <w:pPr>
              <w:rPr>
                <w:rFonts w:ascii="Arial" w:eastAsia="Calibri" w:hAnsi="Arial" w:cs="Times New Roman"/>
                <w:sz w:val="20"/>
              </w:rPr>
            </w:pPr>
            <w:r w:rsidRPr="009E176C">
              <w:rPr>
                <w:rFonts w:ascii="Arial" w:eastAsia="Calibri" w:hAnsi="Arial" w:cs="Times New Roman"/>
                <w:sz w:val="20"/>
              </w:rPr>
              <w:t>Rechtmäßigkeit der Verarbeitung (Art. 5 Abs. 1 Buchst. a DSGVO)</w:t>
            </w:r>
          </w:p>
        </w:tc>
        <w:tc>
          <w:tcPr>
            <w:tcW w:w="4072" w:type="dxa"/>
          </w:tcPr>
          <w:p w14:paraId="1B3FE602" w14:textId="77777777" w:rsidR="006572EE" w:rsidRPr="009E176C" w:rsidRDefault="006572EE" w:rsidP="001F7CD8">
            <w:pPr>
              <w:numPr>
                <w:ilvl w:val="0"/>
                <w:numId w:val="2"/>
              </w:numPr>
              <w:rPr>
                <w:rFonts w:ascii="Arial" w:eastAsia="Calibri" w:hAnsi="Arial" w:cs="Times New Roman"/>
                <w:sz w:val="20"/>
              </w:rPr>
            </w:pPr>
            <w:r w:rsidRPr="009E176C">
              <w:rPr>
                <w:rFonts w:ascii="Arial" w:eastAsia="Calibri" w:hAnsi="Arial" w:cs="Times New Roman"/>
                <w:sz w:val="20"/>
              </w:rPr>
              <w:t>Personenbezogene Daten dürfen nur verarbeitet werden, wenn es dafür eine Rechtsgrundlage gibt. Diese ergibt sich aus Art. 6 DSGVO, etwa zur Vertragserfüllung, Erfüllung einer rechtlichen Verpflichtung, zur Wahrnehmung eines berechtigten Interesses oder auf Basis der Einwilligung.</w:t>
            </w:r>
          </w:p>
          <w:p w14:paraId="7D67AD12" w14:textId="77777777" w:rsidR="006572EE" w:rsidRPr="009E176C" w:rsidRDefault="006572EE" w:rsidP="001F7CD8">
            <w:pPr>
              <w:numPr>
                <w:ilvl w:val="0"/>
                <w:numId w:val="2"/>
              </w:numPr>
              <w:rPr>
                <w:rFonts w:ascii="Arial" w:eastAsia="Calibri" w:hAnsi="Arial" w:cs="Times New Roman"/>
                <w:sz w:val="20"/>
              </w:rPr>
            </w:pPr>
            <w:r w:rsidRPr="009E176C">
              <w:rPr>
                <w:rFonts w:ascii="Arial" w:eastAsia="Calibri" w:hAnsi="Arial" w:cs="Times New Roman"/>
                <w:sz w:val="20"/>
              </w:rPr>
              <w:t>Fehlt eine Rechtsgrundlage oder sind einzelne Voraussetzungen nicht erfüllt, ist die Verarbeitung unzulässig und muss unterbleiben.</w:t>
            </w:r>
          </w:p>
        </w:tc>
        <w:tc>
          <w:tcPr>
            <w:tcW w:w="2928" w:type="dxa"/>
          </w:tcPr>
          <w:p w14:paraId="0D677D49" w14:textId="77777777" w:rsidR="006572EE" w:rsidRPr="009E176C" w:rsidRDefault="006572EE" w:rsidP="001F7CD8">
            <w:pPr>
              <w:numPr>
                <w:ilvl w:val="0"/>
                <w:numId w:val="2"/>
              </w:numPr>
              <w:rPr>
                <w:rFonts w:ascii="Arial" w:eastAsia="Calibri" w:hAnsi="Arial" w:cs="Times New Roman"/>
                <w:sz w:val="20"/>
              </w:rPr>
            </w:pPr>
            <w:r w:rsidRPr="009E176C">
              <w:rPr>
                <w:rFonts w:ascii="Arial" w:eastAsia="Calibri" w:hAnsi="Arial" w:cs="Times New Roman"/>
                <w:sz w:val="20"/>
              </w:rPr>
              <w:t>Auf welche Rechtsgrundlage wird die Verarbeitung gestützt?</w:t>
            </w:r>
          </w:p>
          <w:p w14:paraId="563E02CE" w14:textId="77777777" w:rsidR="006572EE" w:rsidRPr="009E176C" w:rsidRDefault="006572EE" w:rsidP="001F7CD8">
            <w:pPr>
              <w:numPr>
                <w:ilvl w:val="0"/>
                <w:numId w:val="2"/>
              </w:numPr>
              <w:rPr>
                <w:rFonts w:ascii="Arial" w:eastAsia="Calibri" w:hAnsi="Arial" w:cs="Times New Roman"/>
                <w:sz w:val="20"/>
              </w:rPr>
            </w:pPr>
            <w:r w:rsidRPr="009E176C">
              <w:rPr>
                <w:rFonts w:ascii="Arial" w:eastAsia="Calibri" w:hAnsi="Arial" w:cs="Times New Roman"/>
                <w:sz w:val="20"/>
              </w:rPr>
              <w:t>Sind alle Voraussetzungen der Rechtsgrundlage erfüllt?</w:t>
            </w:r>
          </w:p>
          <w:p w14:paraId="23FE75E6" w14:textId="77777777" w:rsidR="006572EE" w:rsidRPr="009E176C" w:rsidRDefault="006572EE" w:rsidP="001F7CD8">
            <w:pPr>
              <w:numPr>
                <w:ilvl w:val="0"/>
                <w:numId w:val="2"/>
              </w:numPr>
              <w:rPr>
                <w:rFonts w:ascii="Arial" w:eastAsia="Calibri" w:hAnsi="Arial" w:cs="Times New Roman"/>
                <w:sz w:val="20"/>
              </w:rPr>
            </w:pPr>
            <w:r w:rsidRPr="009E176C">
              <w:rPr>
                <w:rFonts w:ascii="Arial" w:eastAsia="Calibri" w:hAnsi="Arial" w:cs="Times New Roman"/>
                <w:sz w:val="20"/>
              </w:rPr>
              <w:t>Sind die Rahmenbedingungen dokumentiert?</w:t>
            </w:r>
          </w:p>
          <w:p w14:paraId="73FDC2F5" w14:textId="77777777" w:rsidR="006572EE" w:rsidRPr="009E176C" w:rsidRDefault="006572EE" w:rsidP="001F7CD8">
            <w:pPr>
              <w:numPr>
                <w:ilvl w:val="0"/>
                <w:numId w:val="2"/>
              </w:numPr>
              <w:rPr>
                <w:rFonts w:ascii="Arial" w:eastAsia="Calibri" w:hAnsi="Arial" w:cs="Times New Roman"/>
                <w:sz w:val="20"/>
              </w:rPr>
            </w:pPr>
            <w:r w:rsidRPr="009E176C">
              <w:rPr>
                <w:rFonts w:ascii="Arial" w:eastAsia="Calibri" w:hAnsi="Arial" w:cs="Times New Roman"/>
                <w:sz w:val="20"/>
              </w:rPr>
              <w:t>Sind bei Einwilligungen alle Anforderungen erfüllt (z. B. Art. 7, 8, 4 Nr. 11 DSGVO)?</w:t>
            </w:r>
          </w:p>
        </w:tc>
      </w:tr>
      <w:tr w:rsidR="006572EE" w:rsidRPr="009E176C" w14:paraId="441191EA" w14:textId="77777777" w:rsidTr="0049429D">
        <w:tc>
          <w:tcPr>
            <w:tcW w:w="2062" w:type="dxa"/>
          </w:tcPr>
          <w:p w14:paraId="022519B4" w14:textId="77777777" w:rsidR="006572EE" w:rsidRPr="009E176C" w:rsidRDefault="006572EE" w:rsidP="0049429D">
            <w:pPr>
              <w:rPr>
                <w:rFonts w:ascii="Arial" w:eastAsia="Calibri" w:hAnsi="Arial" w:cs="Times New Roman"/>
                <w:sz w:val="20"/>
              </w:rPr>
            </w:pPr>
            <w:r w:rsidRPr="009E176C">
              <w:rPr>
                <w:rFonts w:ascii="Arial" w:eastAsia="Calibri" w:hAnsi="Arial" w:cs="Times New Roman"/>
                <w:sz w:val="20"/>
              </w:rPr>
              <w:t>Transparenz sowie Treu und Glauben (Art. 5 Abs. 1 Buchst. a DSGVO)</w:t>
            </w:r>
          </w:p>
        </w:tc>
        <w:tc>
          <w:tcPr>
            <w:tcW w:w="4072" w:type="dxa"/>
          </w:tcPr>
          <w:p w14:paraId="6457B5CD" w14:textId="77777777" w:rsidR="006572EE" w:rsidRPr="009E176C" w:rsidRDefault="006572EE" w:rsidP="001F7CD8">
            <w:pPr>
              <w:numPr>
                <w:ilvl w:val="0"/>
                <w:numId w:val="3"/>
              </w:numPr>
              <w:rPr>
                <w:rFonts w:ascii="Arial" w:eastAsia="Calibri" w:hAnsi="Arial" w:cs="Times New Roman"/>
                <w:sz w:val="20"/>
              </w:rPr>
            </w:pPr>
            <w:r w:rsidRPr="009E176C">
              <w:rPr>
                <w:rFonts w:ascii="Arial" w:eastAsia="Calibri" w:hAnsi="Arial" w:cs="Times New Roman"/>
                <w:sz w:val="20"/>
              </w:rPr>
              <w:t>Betroffene müssen schon bei der Erhebung der Daten wissen und absehen können, was mit ihren personenbezogenen Daten passiert. Es muss insbesondere transparent über relevante Rahmenbedingungen (z. B. Zwecke, Empfänger) informiert werden.</w:t>
            </w:r>
          </w:p>
          <w:p w14:paraId="13E66826" w14:textId="77777777" w:rsidR="006572EE" w:rsidRPr="009E176C" w:rsidRDefault="006572EE" w:rsidP="001F7CD8">
            <w:pPr>
              <w:numPr>
                <w:ilvl w:val="0"/>
                <w:numId w:val="3"/>
              </w:numPr>
              <w:rPr>
                <w:rFonts w:ascii="Arial" w:eastAsia="Calibri" w:hAnsi="Arial" w:cs="Times New Roman"/>
                <w:sz w:val="20"/>
              </w:rPr>
            </w:pPr>
            <w:r w:rsidRPr="009E176C">
              <w:rPr>
                <w:rFonts w:ascii="Arial" w:eastAsia="Calibri" w:hAnsi="Arial" w:cs="Times New Roman"/>
                <w:sz w:val="20"/>
              </w:rPr>
              <w:t>„Treu und Glauben“ zielt darauf ab, dass die Verarbeitung fair gestaltet ist. Betroffene dürfen nicht getäuscht oder in die Irre geführt werden, etwa durch versteckte Klauseln oder ungünstige Voreinstellungen.</w:t>
            </w:r>
          </w:p>
        </w:tc>
        <w:tc>
          <w:tcPr>
            <w:tcW w:w="2928" w:type="dxa"/>
          </w:tcPr>
          <w:p w14:paraId="093628CA" w14:textId="77777777" w:rsidR="006572EE" w:rsidRPr="009E176C" w:rsidRDefault="006572EE" w:rsidP="001F7CD8">
            <w:pPr>
              <w:numPr>
                <w:ilvl w:val="0"/>
                <w:numId w:val="3"/>
              </w:numPr>
              <w:rPr>
                <w:rFonts w:ascii="Arial" w:eastAsia="Calibri" w:hAnsi="Arial" w:cs="Times New Roman"/>
                <w:sz w:val="20"/>
              </w:rPr>
            </w:pPr>
            <w:r w:rsidRPr="009E176C">
              <w:rPr>
                <w:rFonts w:ascii="Arial" w:eastAsia="Calibri" w:hAnsi="Arial" w:cs="Times New Roman"/>
                <w:sz w:val="20"/>
              </w:rPr>
              <w:t>Was wird zur Gewährleistung der Transparenz unternommen?</w:t>
            </w:r>
          </w:p>
          <w:p w14:paraId="7DC77C96" w14:textId="77777777" w:rsidR="006572EE" w:rsidRPr="009E176C" w:rsidRDefault="006572EE" w:rsidP="001F7CD8">
            <w:pPr>
              <w:numPr>
                <w:ilvl w:val="0"/>
                <w:numId w:val="3"/>
              </w:numPr>
              <w:rPr>
                <w:rFonts w:ascii="Arial" w:eastAsia="Calibri" w:hAnsi="Arial" w:cs="Times New Roman"/>
                <w:sz w:val="20"/>
              </w:rPr>
            </w:pPr>
            <w:r w:rsidRPr="009E176C">
              <w:rPr>
                <w:rFonts w:ascii="Arial" w:eastAsia="Calibri" w:hAnsi="Arial" w:cs="Times New Roman"/>
                <w:sz w:val="20"/>
              </w:rPr>
              <w:t>Wie, wann und in welchem Umfang wird der Betroffene über die Rahmenbedingungen informiert?</w:t>
            </w:r>
          </w:p>
          <w:p w14:paraId="690370F7" w14:textId="77777777" w:rsidR="006572EE" w:rsidRPr="009E176C" w:rsidRDefault="006572EE" w:rsidP="001F7CD8">
            <w:pPr>
              <w:numPr>
                <w:ilvl w:val="0"/>
                <w:numId w:val="3"/>
              </w:numPr>
              <w:rPr>
                <w:rFonts w:ascii="Arial" w:eastAsia="Calibri" w:hAnsi="Arial" w:cs="Times New Roman"/>
                <w:sz w:val="20"/>
              </w:rPr>
            </w:pPr>
            <w:r w:rsidRPr="009E176C">
              <w:rPr>
                <w:rFonts w:ascii="Arial" w:eastAsia="Calibri" w:hAnsi="Arial" w:cs="Times New Roman"/>
                <w:sz w:val="20"/>
              </w:rPr>
              <w:t>Wie wurden die Interessen der Betroffenen bei der Gestaltung der Verarbeitung berücksichtigt?</w:t>
            </w:r>
          </w:p>
        </w:tc>
      </w:tr>
      <w:tr w:rsidR="006572EE" w:rsidRPr="009E176C" w14:paraId="0D41BD2A" w14:textId="77777777" w:rsidTr="0049429D">
        <w:tc>
          <w:tcPr>
            <w:tcW w:w="2062" w:type="dxa"/>
          </w:tcPr>
          <w:p w14:paraId="7117A435" w14:textId="77777777" w:rsidR="006572EE" w:rsidRPr="009E176C" w:rsidRDefault="006572EE" w:rsidP="0049429D">
            <w:pPr>
              <w:rPr>
                <w:rFonts w:ascii="Arial" w:eastAsia="Calibri" w:hAnsi="Arial" w:cs="Times New Roman"/>
                <w:sz w:val="20"/>
              </w:rPr>
            </w:pPr>
            <w:r w:rsidRPr="009E176C">
              <w:rPr>
                <w:rFonts w:ascii="Arial" w:eastAsia="Calibri" w:hAnsi="Arial" w:cs="Times New Roman"/>
                <w:sz w:val="20"/>
              </w:rPr>
              <w:t>Zweckbindung (Art. 5 Abs. 1 Buchst. b DSGVO)</w:t>
            </w:r>
          </w:p>
        </w:tc>
        <w:tc>
          <w:tcPr>
            <w:tcW w:w="4072" w:type="dxa"/>
          </w:tcPr>
          <w:p w14:paraId="33037C2B" w14:textId="77777777" w:rsidR="006572EE" w:rsidRPr="009E176C" w:rsidRDefault="006572EE" w:rsidP="001F7CD8">
            <w:pPr>
              <w:numPr>
                <w:ilvl w:val="0"/>
                <w:numId w:val="4"/>
              </w:numPr>
              <w:rPr>
                <w:rFonts w:ascii="Arial" w:eastAsia="Calibri" w:hAnsi="Arial" w:cs="Times New Roman"/>
                <w:sz w:val="20"/>
              </w:rPr>
            </w:pPr>
            <w:r w:rsidRPr="009E176C">
              <w:rPr>
                <w:rFonts w:ascii="Arial" w:eastAsia="Calibri" w:hAnsi="Arial" w:cs="Times New Roman"/>
                <w:sz w:val="20"/>
              </w:rPr>
              <w:t>Grundsätzlich dürfen Daten nur für den Zweck verarbeitet werden, für den sie erhoben wurden.</w:t>
            </w:r>
          </w:p>
          <w:p w14:paraId="27BF3B4A" w14:textId="77777777" w:rsidR="006572EE" w:rsidRPr="009E176C" w:rsidRDefault="006572EE" w:rsidP="001F7CD8">
            <w:pPr>
              <w:numPr>
                <w:ilvl w:val="0"/>
                <w:numId w:val="4"/>
              </w:numPr>
              <w:rPr>
                <w:rFonts w:ascii="Arial" w:eastAsia="Calibri" w:hAnsi="Arial" w:cs="Times New Roman"/>
                <w:sz w:val="20"/>
              </w:rPr>
            </w:pPr>
            <w:r w:rsidRPr="009E176C">
              <w:rPr>
                <w:rFonts w:ascii="Arial" w:eastAsia="Calibri" w:hAnsi="Arial" w:cs="Times New Roman"/>
                <w:sz w:val="20"/>
              </w:rPr>
              <w:t>Das Weiterverarbeiten für andere Zwecke ist nur unter besonderen Voraussetzungen zulässig, etwa auf Basis von Art. 6 Abs. 4 DSGVO. Hier muss z. B. der neue Zweck zum ursprünglichen kompatibel sein.</w:t>
            </w:r>
          </w:p>
        </w:tc>
        <w:tc>
          <w:tcPr>
            <w:tcW w:w="2928" w:type="dxa"/>
          </w:tcPr>
          <w:p w14:paraId="6E524C2A" w14:textId="77777777" w:rsidR="006572EE" w:rsidRPr="009E176C" w:rsidRDefault="006572EE" w:rsidP="001F7CD8">
            <w:pPr>
              <w:numPr>
                <w:ilvl w:val="0"/>
                <w:numId w:val="4"/>
              </w:numPr>
              <w:rPr>
                <w:rFonts w:ascii="Arial" w:eastAsia="Calibri" w:hAnsi="Arial" w:cs="Times New Roman"/>
                <w:sz w:val="20"/>
              </w:rPr>
            </w:pPr>
            <w:r w:rsidRPr="009E176C">
              <w:rPr>
                <w:rFonts w:ascii="Arial" w:eastAsia="Calibri" w:hAnsi="Arial" w:cs="Times New Roman"/>
                <w:sz w:val="20"/>
              </w:rPr>
              <w:t>Wurde der Zweck konkret festgelegt und dokumentiert?</w:t>
            </w:r>
          </w:p>
          <w:p w14:paraId="6640CFA2" w14:textId="77777777" w:rsidR="006572EE" w:rsidRPr="009E176C" w:rsidRDefault="006572EE" w:rsidP="001F7CD8">
            <w:pPr>
              <w:numPr>
                <w:ilvl w:val="0"/>
                <w:numId w:val="4"/>
              </w:numPr>
              <w:rPr>
                <w:rFonts w:ascii="Arial" w:eastAsia="Calibri" w:hAnsi="Arial" w:cs="Times New Roman"/>
                <w:sz w:val="20"/>
              </w:rPr>
            </w:pPr>
            <w:r w:rsidRPr="009E176C">
              <w:rPr>
                <w:rFonts w:ascii="Arial" w:eastAsia="Calibri" w:hAnsi="Arial" w:cs="Times New Roman"/>
                <w:sz w:val="20"/>
              </w:rPr>
              <w:t>Wie wird die Zweckbindung sichergestellt?</w:t>
            </w:r>
          </w:p>
          <w:p w14:paraId="5F6A54BD" w14:textId="77777777" w:rsidR="006572EE" w:rsidRPr="009E176C" w:rsidRDefault="006572EE" w:rsidP="001F7CD8">
            <w:pPr>
              <w:numPr>
                <w:ilvl w:val="0"/>
                <w:numId w:val="4"/>
              </w:numPr>
              <w:rPr>
                <w:rFonts w:ascii="Arial" w:eastAsia="Calibri" w:hAnsi="Arial" w:cs="Times New Roman"/>
                <w:sz w:val="20"/>
              </w:rPr>
            </w:pPr>
            <w:r w:rsidRPr="009E176C">
              <w:rPr>
                <w:rFonts w:ascii="Arial" w:eastAsia="Calibri" w:hAnsi="Arial" w:cs="Times New Roman"/>
                <w:sz w:val="20"/>
              </w:rPr>
              <w:t>Kommt es zur Weiterverarbeitung der Daten für andere Zwecke?</w:t>
            </w:r>
          </w:p>
        </w:tc>
      </w:tr>
      <w:tr w:rsidR="006572EE" w:rsidRPr="009E176C" w14:paraId="03244FEA" w14:textId="77777777" w:rsidTr="0049429D">
        <w:tc>
          <w:tcPr>
            <w:tcW w:w="2062" w:type="dxa"/>
          </w:tcPr>
          <w:p w14:paraId="2E02BA51" w14:textId="77777777" w:rsidR="006572EE" w:rsidRPr="009E176C" w:rsidRDefault="006572EE" w:rsidP="0049429D">
            <w:pPr>
              <w:rPr>
                <w:rFonts w:ascii="Arial" w:eastAsia="Calibri" w:hAnsi="Arial" w:cs="Times New Roman"/>
                <w:sz w:val="20"/>
              </w:rPr>
            </w:pPr>
            <w:r w:rsidRPr="009E176C">
              <w:rPr>
                <w:rFonts w:ascii="Arial" w:eastAsia="Calibri" w:hAnsi="Arial" w:cs="Times New Roman"/>
                <w:sz w:val="20"/>
              </w:rPr>
              <w:t>Datenminimierung (Art. 5 Abs. 1 Buchst. c DSGVO)</w:t>
            </w:r>
          </w:p>
        </w:tc>
        <w:tc>
          <w:tcPr>
            <w:tcW w:w="4072" w:type="dxa"/>
          </w:tcPr>
          <w:p w14:paraId="39B288E6" w14:textId="77777777" w:rsidR="006572EE" w:rsidRPr="009E176C" w:rsidRDefault="006572EE" w:rsidP="001F7CD8">
            <w:pPr>
              <w:numPr>
                <w:ilvl w:val="0"/>
                <w:numId w:val="5"/>
              </w:numPr>
              <w:rPr>
                <w:rFonts w:ascii="Arial" w:eastAsia="Calibri" w:hAnsi="Arial" w:cs="Times New Roman"/>
                <w:sz w:val="20"/>
              </w:rPr>
            </w:pPr>
            <w:r w:rsidRPr="009E176C">
              <w:rPr>
                <w:rFonts w:ascii="Arial" w:eastAsia="Calibri" w:hAnsi="Arial" w:cs="Times New Roman"/>
                <w:sz w:val="20"/>
              </w:rPr>
              <w:t>Der sparsame Umgang mit personenbezogenen Daten ist Datenschutzstandard. Hier gilt die Faustformel „So wenig wie möglich, so viel wie unbedingt erforderlich“.</w:t>
            </w:r>
          </w:p>
          <w:p w14:paraId="113AA05F" w14:textId="77777777" w:rsidR="006572EE" w:rsidRPr="009E176C" w:rsidRDefault="006572EE" w:rsidP="001F7CD8">
            <w:pPr>
              <w:numPr>
                <w:ilvl w:val="0"/>
                <w:numId w:val="5"/>
              </w:numPr>
              <w:rPr>
                <w:rFonts w:ascii="Arial" w:eastAsia="Calibri" w:hAnsi="Arial" w:cs="Times New Roman"/>
                <w:sz w:val="20"/>
              </w:rPr>
            </w:pPr>
            <w:r w:rsidRPr="009E176C">
              <w:rPr>
                <w:rFonts w:ascii="Arial" w:eastAsia="Calibri" w:hAnsi="Arial" w:cs="Times New Roman"/>
                <w:sz w:val="20"/>
              </w:rPr>
              <w:t>Nicht erforderliche Daten sind immer problematisch. Eventuell bedarf es einer spezifischen Rechtsgrundlage wie z. B. einer Einwilligung des Betroffenen.</w:t>
            </w:r>
          </w:p>
        </w:tc>
        <w:tc>
          <w:tcPr>
            <w:tcW w:w="2928" w:type="dxa"/>
          </w:tcPr>
          <w:p w14:paraId="11271490" w14:textId="77777777" w:rsidR="006572EE" w:rsidRPr="009E176C" w:rsidRDefault="006572EE" w:rsidP="001F7CD8">
            <w:pPr>
              <w:numPr>
                <w:ilvl w:val="0"/>
                <w:numId w:val="5"/>
              </w:numPr>
              <w:rPr>
                <w:rFonts w:ascii="Arial" w:eastAsia="Calibri" w:hAnsi="Arial" w:cs="Times New Roman"/>
                <w:sz w:val="20"/>
              </w:rPr>
            </w:pPr>
            <w:r w:rsidRPr="009E176C">
              <w:rPr>
                <w:rFonts w:ascii="Arial" w:eastAsia="Calibri" w:hAnsi="Arial" w:cs="Times New Roman"/>
                <w:sz w:val="20"/>
              </w:rPr>
              <w:t>Welche Daten werden erhoben und sind diese für den Zweck erheblich und notwendig?</w:t>
            </w:r>
          </w:p>
          <w:p w14:paraId="234C86B2" w14:textId="77777777" w:rsidR="006572EE" w:rsidRPr="009E176C" w:rsidRDefault="006572EE" w:rsidP="001F7CD8">
            <w:pPr>
              <w:numPr>
                <w:ilvl w:val="0"/>
                <w:numId w:val="5"/>
              </w:numPr>
              <w:rPr>
                <w:rFonts w:ascii="Arial" w:eastAsia="Calibri" w:hAnsi="Arial" w:cs="Times New Roman"/>
                <w:sz w:val="20"/>
              </w:rPr>
            </w:pPr>
            <w:r w:rsidRPr="009E176C">
              <w:rPr>
                <w:rFonts w:ascii="Arial" w:eastAsia="Calibri" w:hAnsi="Arial" w:cs="Times New Roman"/>
                <w:sz w:val="20"/>
              </w:rPr>
              <w:t>Ist das Minimalprinzip schon bei der Datenerfassung berücksichtigt?</w:t>
            </w:r>
          </w:p>
          <w:p w14:paraId="49D81ED9" w14:textId="77777777" w:rsidR="006572EE" w:rsidRPr="009E176C" w:rsidRDefault="006572EE" w:rsidP="001F7CD8">
            <w:pPr>
              <w:numPr>
                <w:ilvl w:val="0"/>
                <w:numId w:val="5"/>
              </w:numPr>
              <w:rPr>
                <w:rFonts w:ascii="Arial" w:eastAsia="Calibri" w:hAnsi="Arial" w:cs="Times New Roman"/>
                <w:sz w:val="20"/>
              </w:rPr>
            </w:pPr>
            <w:r w:rsidRPr="009E176C">
              <w:rPr>
                <w:rFonts w:ascii="Arial" w:eastAsia="Calibri" w:hAnsi="Arial" w:cs="Times New Roman"/>
                <w:sz w:val="20"/>
              </w:rPr>
              <w:t>Werden Datenbestände hinsichtlich ihrer Notwendigkeit überprüft?</w:t>
            </w:r>
          </w:p>
        </w:tc>
      </w:tr>
      <w:tr w:rsidR="006572EE" w:rsidRPr="009E176C" w14:paraId="42324276" w14:textId="77777777" w:rsidTr="0049429D">
        <w:tc>
          <w:tcPr>
            <w:tcW w:w="2062" w:type="dxa"/>
          </w:tcPr>
          <w:p w14:paraId="231A78C2" w14:textId="77777777" w:rsidR="006572EE" w:rsidRPr="009E176C" w:rsidRDefault="006572EE" w:rsidP="0049429D">
            <w:pPr>
              <w:rPr>
                <w:rFonts w:ascii="Arial" w:eastAsia="Calibri" w:hAnsi="Arial" w:cs="Times New Roman"/>
                <w:sz w:val="20"/>
              </w:rPr>
            </w:pPr>
            <w:r w:rsidRPr="009E176C">
              <w:rPr>
                <w:rFonts w:ascii="Arial" w:eastAsia="Calibri" w:hAnsi="Arial" w:cs="Times New Roman"/>
                <w:sz w:val="20"/>
              </w:rPr>
              <w:t>Richtigkeit der Daten (Art. 5 Abs. 1 Buchst. d DSGVO)</w:t>
            </w:r>
          </w:p>
        </w:tc>
        <w:tc>
          <w:tcPr>
            <w:tcW w:w="4072" w:type="dxa"/>
          </w:tcPr>
          <w:p w14:paraId="49977F86" w14:textId="77777777" w:rsidR="006572EE" w:rsidRPr="009E176C" w:rsidRDefault="006572EE" w:rsidP="001F7CD8">
            <w:pPr>
              <w:numPr>
                <w:ilvl w:val="0"/>
                <w:numId w:val="6"/>
              </w:numPr>
              <w:rPr>
                <w:rFonts w:ascii="Arial" w:eastAsia="Calibri" w:hAnsi="Arial" w:cs="Times New Roman"/>
                <w:sz w:val="20"/>
              </w:rPr>
            </w:pPr>
            <w:r w:rsidRPr="009E176C">
              <w:rPr>
                <w:rFonts w:ascii="Arial" w:eastAsia="Calibri" w:hAnsi="Arial" w:cs="Times New Roman"/>
                <w:sz w:val="20"/>
              </w:rPr>
              <w:t>Falsche und veraltete personenbezogene Daten sind ein Problem. Sie können auch für Betroffene ein erhöhtes Schadensrisiko bergen.</w:t>
            </w:r>
          </w:p>
          <w:p w14:paraId="54040860" w14:textId="77777777" w:rsidR="006572EE" w:rsidRPr="009E176C" w:rsidRDefault="006572EE" w:rsidP="001F7CD8">
            <w:pPr>
              <w:numPr>
                <w:ilvl w:val="0"/>
                <w:numId w:val="6"/>
              </w:numPr>
              <w:rPr>
                <w:rFonts w:ascii="Arial" w:eastAsia="Calibri" w:hAnsi="Arial" w:cs="Times New Roman"/>
                <w:sz w:val="20"/>
              </w:rPr>
            </w:pPr>
            <w:r w:rsidRPr="009E176C">
              <w:rPr>
                <w:rFonts w:ascii="Arial" w:eastAsia="Calibri" w:hAnsi="Arial" w:cs="Times New Roman"/>
                <w:sz w:val="20"/>
              </w:rPr>
              <w:t>Ggf. müssen unrichtige oder veraltete Daten korrigiert oder gelöscht werden (Art. 16 und 17 DSGVO).</w:t>
            </w:r>
          </w:p>
        </w:tc>
        <w:tc>
          <w:tcPr>
            <w:tcW w:w="2928" w:type="dxa"/>
          </w:tcPr>
          <w:p w14:paraId="39C23CC4" w14:textId="77777777" w:rsidR="006572EE" w:rsidRPr="009E176C" w:rsidRDefault="006572EE" w:rsidP="001F7CD8">
            <w:pPr>
              <w:numPr>
                <w:ilvl w:val="0"/>
                <w:numId w:val="6"/>
              </w:numPr>
              <w:rPr>
                <w:rFonts w:ascii="Arial" w:eastAsia="Calibri" w:hAnsi="Arial" w:cs="Times New Roman"/>
                <w:sz w:val="20"/>
              </w:rPr>
            </w:pPr>
            <w:r w:rsidRPr="009E176C">
              <w:rPr>
                <w:rFonts w:ascii="Arial" w:eastAsia="Calibri" w:hAnsi="Arial" w:cs="Times New Roman"/>
                <w:sz w:val="20"/>
              </w:rPr>
              <w:t>Welche Prozesse sind vorgesehen, um die Richtigkeit und Aktualität von Daten zu gewährleisten?</w:t>
            </w:r>
          </w:p>
          <w:p w14:paraId="6BA208A3" w14:textId="77777777" w:rsidR="006572EE" w:rsidRPr="009E176C" w:rsidRDefault="006572EE" w:rsidP="001F7CD8">
            <w:pPr>
              <w:numPr>
                <w:ilvl w:val="0"/>
                <w:numId w:val="6"/>
              </w:numPr>
              <w:rPr>
                <w:rFonts w:ascii="Arial" w:eastAsia="Calibri" w:hAnsi="Arial" w:cs="Times New Roman"/>
                <w:sz w:val="20"/>
              </w:rPr>
            </w:pPr>
            <w:r w:rsidRPr="009E176C">
              <w:rPr>
                <w:rFonts w:ascii="Arial" w:eastAsia="Calibri" w:hAnsi="Arial" w:cs="Times New Roman"/>
                <w:sz w:val="20"/>
              </w:rPr>
              <w:t xml:space="preserve">Inwieweit können entsprechende Ansprüche </w:t>
            </w:r>
            <w:r w:rsidRPr="009E176C">
              <w:rPr>
                <w:rFonts w:ascii="Arial" w:eastAsia="Calibri" w:hAnsi="Arial" w:cs="Times New Roman"/>
                <w:sz w:val="20"/>
              </w:rPr>
              <w:lastRenderedPageBreak/>
              <w:t>von Betroffenen umgesetzt werden?</w:t>
            </w:r>
          </w:p>
        </w:tc>
      </w:tr>
      <w:tr w:rsidR="006572EE" w:rsidRPr="009E176C" w14:paraId="7098CEF2" w14:textId="77777777" w:rsidTr="0049429D">
        <w:tc>
          <w:tcPr>
            <w:tcW w:w="2062" w:type="dxa"/>
          </w:tcPr>
          <w:p w14:paraId="1D2C7C6A" w14:textId="77777777" w:rsidR="006572EE" w:rsidRPr="009E176C" w:rsidRDefault="006572EE" w:rsidP="0049429D">
            <w:pPr>
              <w:rPr>
                <w:rFonts w:ascii="Arial" w:eastAsia="Calibri" w:hAnsi="Arial" w:cs="Times New Roman"/>
                <w:sz w:val="20"/>
              </w:rPr>
            </w:pPr>
            <w:r w:rsidRPr="009E176C">
              <w:rPr>
                <w:rFonts w:ascii="Arial" w:eastAsia="Calibri" w:hAnsi="Arial" w:cs="Times New Roman"/>
                <w:sz w:val="20"/>
              </w:rPr>
              <w:lastRenderedPageBreak/>
              <w:t>Speicherbegrenzung (Art. 5 Abs. 1 Buchst. e DSGVO)</w:t>
            </w:r>
          </w:p>
        </w:tc>
        <w:tc>
          <w:tcPr>
            <w:tcW w:w="4072" w:type="dxa"/>
          </w:tcPr>
          <w:p w14:paraId="4EADB64A" w14:textId="77777777" w:rsidR="006572EE" w:rsidRPr="009E176C" w:rsidRDefault="006572EE" w:rsidP="001F7CD8">
            <w:pPr>
              <w:numPr>
                <w:ilvl w:val="0"/>
                <w:numId w:val="7"/>
              </w:numPr>
              <w:rPr>
                <w:rFonts w:ascii="Arial" w:eastAsia="Calibri" w:hAnsi="Arial" w:cs="Times New Roman"/>
                <w:sz w:val="20"/>
              </w:rPr>
            </w:pPr>
            <w:r w:rsidRPr="009E176C">
              <w:rPr>
                <w:rFonts w:ascii="Arial" w:eastAsia="Calibri" w:hAnsi="Arial" w:cs="Times New Roman"/>
                <w:sz w:val="20"/>
              </w:rPr>
              <w:t>Prinzipiell gilt: Personenbezogene Daten dürfen nur so lange verarbeitet werden, wie das für den Verarbeitungszweck erforderlich ist.</w:t>
            </w:r>
          </w:p>
          <w:p w14:paraId="79370F2B" w14:textId="77777777" w:rsidR="006572EE" w:rsidRPr="009E176C" w:rsidRDefault="006572EE" w:rsidP="001F7CD8">
            <w:pPr>
              <w:numPr>
                <w:ilvl w:val="0"/>
                <w:numId w:val="7"/>
              </w:numPr>
              <w:rPr>
                <w:rFonts w:ascii="Arial" w:eastAsia="Calibri" w:hAnsi="Arial" w:cs="Times New Roman"/>
                <w:sz w:val="20"/>
              </w:rPr>
            </w:pPr>
            <w:r w:rsidRPr="009E176C">
              <w:rPr>
                <w:rFonts w:ascii="Arial" w:eastAsia="Calibri" w:hAnsi="Arial" w:cs="Times New Roman"/>
                <w:sz w:val="20"/>
              </w:rPr>
              <w:t>Ausnahmsweise darf nicht gelöscht werden, etwa wenn entsprechende Speicherpflichten bestehen.</w:t>
            </w:r>
          </w:p>
        </w:tc>
        <w:tc>
          <w:tcPr>
            <w:tcW w:w="2928" w:type="dxa"/>
          </w:tcPr>
          <w:p w14:paraId="504DE01A" w14:textId="77777777" w:rsidR="006572EE" w:rsidRPr="009E176C" w:rsidRDefault="006572EE" w:rsidP="001F7CD8">
            <w:pPr>
              <w:numPr>
                <w:ilvl w:val="0"/>
                <w:numId w:val="7"/>
              </w:numPr>
              <w:rPr>
                <w:rFonts w:ascii="Arial" w:eastAsia="Calibri" w:hAnsi="Arial" w:cs="Times New Roman"/>
                <w:sz w:val="20"/>
              </w:rPr>
            </w:pPr>
            <w:r w:rsidRPr="009E176C">
              <w:rPr>
                <w:rFonts w:ascii="Arial" w:eastAsia="Calibri" w:hAnsi="Arial" w:cs="Times New Roman"/>
                <w:sz w:val="20"/>
              </w:rPr>
              <w:t>Welche Speicher- und Löschfristen sind für die verarbeiteten Daten vorgesehen?</w:t>
            </w:r>
          </w:p>
          <w:p w14:paraId="569B2C78" w14:textId="77777777" w:rsidR="006572EE" w:rsidRPr="009E176C" w:rsidRDefault="006572EE" w:rsidP="001F7CD8">
            <w:pPr>
              <w:numPr>
                <w:ilvl w:val="0"/>
                <w:numId w:val="7"/>
              </w:numPr>
              <w:rPr>
                <w:rFonts w:ascii="Arial" w:eastAsia="Calibri" w:hAnsi="Arial" w:cs="Times New Roman"/>
                <w:sz w:val="20"/>
              </w:rPr>
            </w:pPr>
            <w:r w:rsidRPr="009E176C">
              <w:rPr>
                <w:rFonts w:ascii="Arial" w:eastAsia="Calibri" w:hAnsi="Arial" w:cs="Times New Roman"/>
                <w:sz w:val="20"/>
              </w:rPr>
              <w:t>Worauf basieren die entsprechenden Festlegungen?</w:t>
            </w:r>
          </w:p>
          <w:p w14:paraId="1A05EE6F" w14:textId="77777777" w:rsidR="006572EE" w:rsidRPr="009E176C" w:rsidRDefault="006572EE" w:rsidP="001F7CD8">
            <w:pPr>
              <w:numPr>
                <w:ilvl w:val="0"/>
                <w:numId w:val="7"/>
              </w:numPr>
              <w:rPr>
                <w:rFonts w:ascii="Arial" w:eastAsia="Calibri" w:hAnsi="Arial" w:cs="Times New Roman"/>
                <w:sz w:val="20"/>
              </w:rPr>
            </w:pPr>
            <w:r w:rsidRPr="009E176C">
              <w:rPr>
                <w:rFonts w:ascii="Arial" w:eastAsia="Calibri" w:hAnsi="Arial" w:cs="Times New Roman"/>
                <w:sz w:val="20"/>
              </w:rPr>
              <w:t>Wie wird eine entsprechende Betroffenenanfrage geprüft und umgesetzt?</w:t>
            </w:r>
          </w:p>
        </w:tc>
      </w:tr>
      <w:tr w:rsidR="006572EE" w:rsidRPr="009E176C" w14:paraId="496F86FE" w14:textId="77777777" w:rsidTr="0049429D">
        <w:tc>
          <w:tcPr>
            <w:tcW w:w="2062" w:type="dxa"/>
          </w:tcPr>
          <w:p w14:paraId="314803B7" w14:textId="77777777" w:rsidR="006572EE" w:rsidRPr="009E176C" w:rsidRDefault="006572EE" w:rsidP="0049429D">
            <w:pPr>
              <w:rPr>
                <w:rFonts w:ascii="Arial" w:eastAsia="Calibri" w:hAnsi="Arial" w:cs="Times New Roman"/>
                <w:sz w:val="20"/>
              </w:rPr>
            </w:pPr>
            <w:r w:rsidRPr="009E176C">
              <w:rPr>
                <w:rFonts w:ascii="Arial" w:eastAsia="Calibri" w:hAnsi="Arial" w:cs="Times New Roman"/>
                <w:sz w:val="20"/>
              </w:rPr>
              <w:t>Integrität und Vertraulichkeit (Art. 5 Abs. 1 Buchst. f DSGVO)</w:t>
            </w:r>
          </w:p>
        </w:tc>
        <w:tc>
          <w:tcPr>
            <w:tcW w:w="4072" w:type="dxa"/>
          </w:tcPr>
          <w:p w14:paraId="32C3493D" w14:textId="77777777" w:rsidR="006572EE" w:rsidRPr="009E176C" w:rsidRDefault="006572EE" w:rsidP="001F7CD8">
            <w:pPr>
              <w:numPr>
                <w:ilvl w:val="0"/>
                <w:numId w:val="8"/>
              </w:numPr>
              <w:rPr>
                <w:rFonts w:ascii="Arial" w:eastAsia="Calibri" w:hAnsi="Arial" w:cs="Times New Roman"/>
                <w:sz w:val="20"/>
              </w:rPr>
            </w:pPr>
            <w:r w:rsidRPr="009E176C">
              <w:rPr>
                <w:rFonts w:ascii="Arial" w:eastAsia="Calibri" w:hAnsi="Arial" w:cs="Times New Roman"/>
                <w:sz w:val="20"/>
              </w:rPr>
              <w:t>Dieser Grundsatz zielt darauf ab, angemessenen Schutz vor unbefugtem Zugriff, vor Verlust, Vernichtung oder Veränderung sicherzustellen.</w:t>
            </w:r>
          </w:p>
          <w:p w14:paraId="08DD8720" w14:textId="77777777" w:rsidR="006572EE" w:rsidRPr="009E176C" w:rsidRDefault="006572EE" w:rsidP="001F7CD8">
            <w:pPr>
              <w:numPr>
                <w:ilvl w:val="0"/>
                <w:numId w:val="8"/>
              </w:numPr>
              <w:rPr>
                <w:rFonts w:ascii="Arial" w:eastAsia="Calibri" w:hAnsi="Arial" w:cs="Times New Roman"/>
                <w:sz w:val="20"/>
              </w:rPr>
            </w:pPr>
            <w:r w:rsidRPr="009E176C">
              <w:rPr>
                <w:rFonts w:ascii="Arial" w:eastAsia="Calibri" w:hAnsi="Arial" w:cs="Times New Roman"/>
                <w:sz w:val="20"/>
              </w:rPr>
              <w:t>Die wichtigsten Rahmenbedingungen ergeben sich aus Art. 32 DSGVO. Danach sind risikoangemessene Schutzmaßnahmen umzusetzen.</w:t>
            </w:r>
          </w:p>
        </w:tc>
        <w:tc>
          <w:tcPr>
            <w:tcW w:w="2928" w:type="dxa"/>
          </w:tcPr>
          <w:p w14:paraId="3595818F" w14:textId="77777777" w:rsidR="006572EE" w:rsidRPr="009E176C" w:rsidRDefault="006572EE" w:rsidP="001F7CD8">
            <w:pPr>
              <w:numPr>
                <w:ilvl w:val="0"/>
                <w:numId w:val="8"/>
              </w:numPr>
              <w:rPr>
                <w:rFonts w:ascii="Arial" w:eastAsia="Calibri" w:hAnsi="Arial" w:cs="Times New Roman"/>
                <w:sz w:val="20"/>
              </w:rPr>
            </w:pPr>
            <w:r w:rsidRPr="009E176C">
              <w:rPr>
                <w:rFonts w:ascii="Arial" w:eastAsia="Calibri" w:hAnsi="Arial" w:cs="Times New Roman"/>
                <w:sz w:val="20"/>
              </w:rPr>
              <w:t>Mit welchen Schutzmaßnahmen werden die Ziele aus Art. 32 DSGVO erreicht?</w:t>
            </w:r>
          </w:p>
          <w:p w14:paraId="439827DC" w14:textId="77777777" w:rsidR="006572EE" w:rsidRPr="009E176C" w:rsidRDefault="006572EE" w:rsidP="001F7CD8">
            <w:pPr>
              <w:numPr>
                <w:ilvl w:val="0"/>
                <w:numId w:val="8"/>
              </w:numPr>
              <w:rPr>
                <w:rFonts w:ascii="Arial" w:eastAsia="Calibri" w:hAnsi="Arial" w:cs="Times New Roman"/>
                <w:sz w:val="20"/>
              </w:rPr>
            </w:pPr>
            <w:r w:rsidRPr="009E176C">
              <w:rPr>
                <w:rFonts w:ascii="Arial" w:eastAsia="Calibri" w:hAnsi="Arial" w:cs="Times New Roman"/>
                <w:sz w:val="20"/>
              </w:rPr>
              <w:t>Sind die Maßnahmen risikoangemessen?</w:t>
            </w:r>
          </w:p>
          <w:p w14:paraId="3F3E05C1" w14:textId="77777777" w:rsidR="006572EE" w:rsidRPr="009E176C" w:rsidRDefault="006572EE" w:rsidP="001F7CD8">
            <w:pPr>
              <w:numPr>
                <w:ilvl w:val="0"/>
                <w:numId w:val="8"/>
              </w:numPr>
              <w:rPr>
                <w:rFonts w:ascii="Arial" w:eastAsia="Calibri" w:hAnsi="Arial" w:cs="Times New Roman"/>
                <w:sz w:val="20"/>
              </w:rPr>
            </w:pPr>
            <w:r w:rsidRPr="009E176C">
              <w:rPr>
                <w:rFonts w:ascii="Arial" w:eastAsia="Calibri" w:hAnsi="Arial" w:cs="Times New Roman"/>
                <w:sz w:val="20"/>
              </w:rPr>
              <w:t>Sind die Maßnahmen auf der Höhe der Zeit und entsprechen sie dem Stand der Technik?</w:t>
            </w:r>
          </w:p>
        </w:tc>
      </w:tr>
    </w:tbl>
    <w:p w14:paraId="569A9BDC" w14:textId="77777777" w:rsidR="006572EE" w:rsidRPr="009E176C" w:rsidRDefault="006572EE" w:rsidP="006572EE">
      <w:pPr>
        <w:rPr>
          <w:rFonts w:ascii="Arial" w:eastAsia="Calibri" w:hAnsi="Arial" w:cs="Times New Roman"/>
          <w:sz w:val="20"/>
        </w:rPr>
      </w:pPr>
    </w:p>
    <w:p w14:paraId="045A1BBF" w14:textId="77777777" w:rsidR="006572EE" w:rsidRDefault="006572EE" w:rsidP="006572EE"/>
    <w:p w14:paraId="31D50F89" w14:textId="4F0ACD49" w:rsidR="003D43CE" w:rsidRPr="006572EE" w:rsidRDefault="003D43CE" w:rsidP="006572EE"/>
    <w:sectPr w:rsidR="003D43CE" w:rsidRPr="006572EE">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B01D76" w14:textId="77777777" w:rsidR="001F7CD8" w:rsidRDefault="001F7CD8" w:rsidP="00CC2216">
      <w:r>
        <w:separator/>
      </w:r>
    </w:p>
  </w:endnote>
  <w:endnote w:type="continuationSeparator" w:id="0">
    <w:p w14:paraId="6CAB1E9C" w14:textId="77777777" w:rsidR="001F7CD8" w:rsidRDefault="001F7CD8" w:rsidP="00CC2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CAE19" w14:textId="70CAB3C8" w:rsidR="00CC2216" w:rsidRDefault="00CC2216">
    <w:pPr>
      <w:pStyle w:val="Fuzeile"/>
    </w:pPr>
    <w:r>
      <w:rPr>
        <w:rFonts w:cstheme="minorHAnsi"/>
      </w:rPr>
      <w:t>©</w:t>
    </w:r>
    <w:r>
      <w:rPr>
        <w:rFonts w:cstheme="minorHAnsi"/>
        <w:b/>
        <w:bCs/>
        <w:noProof/>
        <w:color w:val="000000"/>
      </w:rPr>
      <mc:AlternateContent>
        <mc:Choice Requires="wps">
          <w:drawing>
            <wp:anchor distT="0" distB="0" distL="114300" distR="114300" simplePos="0" relativeHeight="251661312" behindDoc="0" locked="0" layoutInCell="1" allowOverlap="1" wp14:anchorId="07D080B7" wp14:editId="38DD6BD6">
              <wp:simplePos x="0" y="0"/>
              <wp:positionH relativeFrom="margin">
                <wp:posOffset>-1084521</wp:posOffset>
              </wp:positionH>
              <wp:positionV relativeFrom="paragraph">
                <wp:posOffset>191504</wp:posOffset>
              </wp:positionV>
              <wp:extent cx="7729870" cy="414670"/>
              <wp:effectExtent l="0" t="0" r="4445" b="4445"/>
              <wp:wrapNone/>
              <wp:docPr id="4" name="Rechtwinkliges Dreieck 4"/>
              <wp:cNvGraphicFramePr/>
              <a:graphic xmlns:a="http://schemas.openxmlformats.org/drawingml/2006/main">
                <a:graphicData uri="http://schemas.microsoft.com/office/word/2010/wordprocessingShape">
                  <wps:wsp>
                    <wps:cNvSpPr/>
                    <wps:spPr>
                      <a:xfrm flipH="1">
                        <a:off x="0" y="0"/>
                        <a:ext cx="7729870" cy="414670"/>
                      </a:xfrm>
                      <a:prstGeom prst="rtTriangle">
                        <a:avLst/>
                      </a:prstGeom>
                      <a:solidFill>
                        <a:srgbClr val="A9D65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5DA53FC" id="_x0000_t6" coordsize="21600,21600" o:spt="6" path="m,l,21600r21600,xe">
              <v:stroke joinstyle="miter"/>
              <v:path gradientshapeok="t" o:connecttype="custom" o:connectlocs="0,0;0,10800;0,21600;10800,21600;21600,21600;10800,10800" textboxrect="1800,12600,12600,19800"/>
            </v:shapetype>
            <v:shape id="Rechtwinkliges Dreieck 4" o:spid="_x0000_s1026" type="#_x0000_t6" style="position:absolute;margin-left:-85.4pt;margin-top:15.1pt;width:608.65pt;height:32.65pt;flip:x;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" fillcolor="#a9d65e" stroked="f" strokeweight="1pt">
              <w10:wrap anchorx="margin"/>
            </v:shape>
          </w:pict>
        </mc:Fallback>
      </mc:AlternateContent>
    </w:r>
    <w:r>
      <w:t xml:space="preserve"> </w:t>
    </w:r>
    <w:r w:rsidR="00351F26" w:rsidRPr="00351F26">
      <w:t xml:space="preserve">Datenschutz aktuell </w:t>
    </w:r>
    <w:r w:rsidR="003E52CE">
      <w:t>P</w:t>
    </w:r>
    <w:r w:rsidR="00351F26" w:rsidRPr="00351F26">
      <w:t>rofessional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1F2C7F" w14:textId="77777777" w:rsidR="001F7CD8" w:rsidRDefault="001F7CD8" w:rsidP="00CC2216">
      <w:r>
        <w:separator/>
      </w:r>
    </w:p>
  </w:footnote>
  <w:footnote w:type="continuationSeparator" w:id="0">
    <w:p w14:paraId="4FAF3FA5" w14:textId="77777777" w:rsidR="001F7CD8" w:rsidRDefault="001F7CD8" w:rsidP="00CC22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B581B" w14:textId="1A5F229B" w:rsidR="00CC2216" w:rsidRDefault="00CC2216">
    <w:pPr>
      <w:pStyle w:val="Kopfzeile"/>
    </w:pPr>
    <w:r>
      <w:rPr>
        <w:rFonts w:cstheme="minorHAnsi"/>
        <w:b/>
        <w:bCs/>
        <w:noProof/>
        <w:color w:val="000000"/>
      </w:rPr>
      <mc:AlternateContent>
        <mc:Choice Requires="wps">
          <w:drawing>
            <wp:anchor distT="0" distB="0" distL="114300" distR="114300" simplePos="0" relativeHeight="251659264" behindDoc="0" locked="0" layoutInCell="1" allowOverlap="1" wp14:anchorId="4EBF5472" wp14:editId="7378DF21">
              <wp:simplePos x="0" y="0"/>
              <wp:positionH relativeFrom="margin">
                <wp:align>center</wp:align>
              </wp:positionH>
              <wp:positionV relativeFrom="paragraph">
                <wp:posOffset>-447202</wp:posOffset>
              </wp:positionV>
              <wp:extent cx="7729870" cy="414670"/>
              <wp:effectExtent l="0" t="0" r="4445" b="4445"/>
              <wp:wrapNone/>
              <wp:docPr id="3" name="Rechtwinkliges Dreieck 3"/>
              <wp:cNvGraphicFramePr/>
              <a:graphic xmlns:a="http://schemas.openxmlformats.org/drawingml/2006/main">
                <a:graphicData uri="http://schemas.microsoft.com/office/word/2010/wordprocessingShape">
                  <wps:wsp>
                    <wps:cNvSpPr/>
                    <wps:spPr>
                      <a:xfrm rot="10800000" flipH="1">
                        <a:off x="0" y="0"/>
                        <a:ext cx="7729870" cy="414670"/>
                      </a:xfrm>
                      <a:prstGeom prst="rtTriangle">
                        <a:avLst/>
                      </a:prstGeom>
                      <a:solidFill>
                        <a:srgbClr val="A9D65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1BF56BC" id="_x0000_t6" coordsize="21600,21600" o:spt="6" path="m,l,21600r21600,xe">
              <v:stroke joinstyle="miter"/>
              <v:path gradientshapeok="t" o:connecttype="custom" o:connectlocs="0,0;0,10800;0,21600;10800,21600;21600,21600;10800,10800" textboxrect="1800,12600,12600,19800"/>
            </v:shapetype>
            <v:shape id="Rechtwinkliges Dreieck 3" o:spid="_x0000_s1026" type="#_x0000_t6" style="position:absolute;margin-left:0;margin-top:-35.2pt;width:608.65pt;height:32.65pt;rotation:180;flip:x;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" fillcolor="#a9d65e" stroked="f" strokeweight="1pt">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D765072"/>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153F58E2"/>
    <w:multiLevelType w:val="hybridMultilevel"/>
    <w:tmpl w:val="CF36E61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268734BF"/>
    <w:multiLevelType w:val="hybridMultilevel"/>
    <w:tmpl w:val="5D48FFA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494520F3"/>
    <w:multiLevelType w:val="hybridMultilevel"/>
    <w:tmpl w:val="78F4C53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4BF11126"/>
    <w:multiLevelType w:val="hybridMultilevel"/>
    <w:tmpl w:val="656A30E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523A3926"/>
    <w:multiLevelType w:val="hybridMultilevel"/>
    <w:tmpl w:val="146CB65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5F8129E7"/>
    <w:multiLevelType w:val="hybridMultilevel"/>
    <w:tmpl w:val="8BA82E1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77EE4981"/>
    <w:multiLevelType w:val="hybridMultilevel"/>
    <w:tmpl w:val="EE7241C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4"/>
  </w:num>
  <w:num w:numId="4">
    <w:abstractNumId w:val="5"/>
  </w:num>
  <w:num w:numId="5">
    <w:abstractNumId w:val="3"/>
  </w:num>
  <w:num w:numId="6">
    <w:abstractNumId w:val="2"/>
  </w:num>
  <w:num w:numId="7">
    <w:abstractNumId w:val="7"/>
  </w:num>
  <w:num w:numId="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216"/>
    <w:rsid w:val="00076B37"/>
    <w:rsid w:val="000C4C1F"/>
    <w:rsid w:val="00152C55"/>
    <w:rsid w:val="001B14AD"/>
    <w:rsid w:val="001D11CB"/>
    <w:rsid w:val="001F7CD8"/>
    <w:rsid w:val="002212CF"/>
    <w:rsid w:val="002356B5"/>
    <w:rsid w:val="00291DAF"/>
    <w:rsid w:val="002C3431"/>
    <w:rsid w:val="002D75F0"/>
    <w:rsid w:val="00300DC4"/>
    <w:rsid w:val="00351F26"/>
    <w:rsid w:val="00380A7A"/>
    <w:rsid w:val="003850FA"/>
    <w:rsid w:val="003D062A"/>
    <w:rsid w:val="003D43CE"/>
    <w:rsid w:val="003D56D7"/>
    <w:rsid w:val="003E3F1E"/>
    <w:rsid w:val="003E47CA"/>
    <w:rsid w:val="003E52CE"/>
    <w:rsid w:val="00432E27"/>
    <w:rsid w:val="0044072D"/>
    <w:rsid w:val="0045191E"/>
    <w:rsid w:val="0045281F"/>
    <w:rsid w:val="004B7D2E"/>
    <w:rsid w:val="004C6F64"/>
    <w:rsid w:val="004C79F3"/>
    <w:rsid w:val="005105F0"/>
    <w:rsid w:val="00510962"/>
    <w:rsid w:val="00525077"/>
    <w:rsid w:val="005713BA"/>
    <w:rsid w:val="005717AA"/>
    <w:rsid w:val="005A6A71"/>
    <w:rsid w:val="005C5465"/>
    <w:rsid w:val="005F33E7"/>
    <w:rsid w:val="006251E4"/>
    <w:rsid w:val="00651E4C"/>
    <w:rsid w:val="006572EE"/>
    <w:rsid w:val="00696A56"/>
    <w:rsid w:val="0072310B"/>
    <w:rsid w:val="0079027C"/>
    <w:rsid w:val="007A004E"/>
    <w:rsid w:val="007E15BB"/>
    <w:rsid w:val="00996806"/>
    <w:rsid w:val="009E467B"/>
    <w:rsid w:val="00AB25D6"/>
    <w:rsid w:val="00AC39D5"/>
    <w:rsid w:val="00B367BE"/>
    <w:rsid w:val="00B77FBA"/>
    <w:rsid w:val="00BB0D08"/>
    <w:rsid w:val="00BE0F4E"/>
    <w:rsid w:val="00C863DD"/>
    <w:rsid w:val="00CA2D6D"/>
    <w:rsid w:val="00CB13B2"/>
    <w:rsid w:val="00CC2216"/>
    <w:rsid w:val="00D17A03"/>
    <w:rsid w:val="00D66349"/>
    <w:rsid w:val="00DC69D7"/>
    <w:rsid w:val="00ED1004"/>
    <w:rsid w:val="00ED7B89"/>
    <w:rsid w:val="00F30525"/>
    <w:rsid w:val="00F72F44"/>
    <w:rsid w:val="00FB5724"/>
    <w:rsid w:val="00FC0CBF"/>
    <w:rsid w:val="00FD1980"/>
    <w:rsid w:val="00FF76CC"/>
  </w:rsids>
  <m:mathPr>
    <m:mathFont m:val="Cambria Math"/>
    <m:brkBin m:val="before"/>
    <m:brkBinSub m:val="--"/>
    <m:smallFrac m:val="0"/>
    <m:dispDef/>
    <m:lMargin m:val="0"/>
    <m:rMargin m:val="0"/>
    <m:defJc m:val="centerGroup"/>
    <m:wrapIndent m:val="1440"/>
    <m:intLim m:val="subSup"/>
    <m:naryLim m:val="undOvr"/>
  </m:mathPr>
  <w:themeFontLang w:val="de-DE" w:bidi="my-MM"/>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166647"/>
  <w15:chartTrackingRefBased/>
  <w15:docId w15:val="{13D57803-031B-4EF2-8954-DA1AECE8F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CC2216"/>
    <w:pPr>
      <w:spacing w:after="0" w:line="240" w:lineRule="auto"/>
    </w:pPr>
  </w:style>
  <w:style w:type="paragraph" w:styleId="berschrift1">
    <w:name w:val="heading 1"/>
    <w:basedOn w:val="Standard"/>
    <w:next w:val="Standard"/>
    <w:link w:val="berschrift1Zchn"/>
    <w:uiPriority w:val="9"/>
    <w:qFormat/>
    <w:rsid w:val="00351F26"/>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val="en-US"/>
    </w:rPr>
  </w:style>
  <w:style w:type="paragraph" w:styleId="berschrift2">
    <w:name w:val="heading 2"/>
    <w:basedOn w:val="Standard"/>
    <w:next w:val="Standard"/>
    <w:link w:val="berschrift2Zchn"/>
    <w:uiPriority w:val="9"/>
    <w:unhideWhenUsed/>
    <w:qFormat/>
    <w:rsid w:val="00351F26"/>
    <w:pPr>
      <w:keepNext/>
      <w:keepLines/>
      <w:spacing w:before="200" w:line="276" w:lineRule="auto"/>
      <w:outlineLvl w:val="1"/>
    </w:pPr>
    <w:rPr>
      <w:rFonts w:asciiTheme="majorHAnsi" w:eastAsiaTheme="majorEastAsia" w:hAnsiTheme="majorHAnsi" w:cstheme="majorBidi"/>
      <w:b/>
      <w:bCs/>
      <w:color w:val="4472C4" w:themeColor="accent1"/>
      <w:sz w:val="26"/>
      <w:szCs w:val="26"/>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link w:val="ListenabsatzZchn"/>
    <w:uiPriority w:val="34"/>
    <w:qFormat/>
    <w:rsid w:val="00CC2216"/>
    <w:pPr>
      <w:ind w:left="720"/>
      <w:contextualSpacing/>
    </w:pPr>
  </w:style>
  <w:style w:type="table" w:styleId="Tabellenraster">
    <w:name w:val="Table Grid"/>
    <w:basedOn w:val="NormaleTabelle"/>
    <w:uiPriority w:val="59"/>
    <w:rsid w:val="00CC221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enabsatzZchn">
    <w:name w:val="Listenabsatz Zchn"/>
    <w:basedOn w:val="Absatz-Standardschriftart"/>
    <w:link w:val="Listenabsatz"/>
    <w:uiPriority w:val="34"/>
    <w:locked/>
    <w:rsid w:val="00CC2216"/>
  </w:style>
  <w:style w:type="paragraph" w:styleId="Kopfzeile">
    <w:name w:val="header"/>
    <w:basedOn w:val="Standard"/>
    <w:link w:val="KopfzeileZchn"/>
    <w:uiPriority w:val="99"/>
    <w:unhideWhenUsed/>
    <w:rsid w:val="00CC2216"/>
    <w:pPr>
      <w:tabs>
        <w:tab w:val="center" w:pos="4536"/>
        <w:tab w:val="right" w:pos="9072"/>
      </w:tabs>
    </w:pPr>
  </w:style>
  <w:style w:type="character" w:customStyle="1" w:styleId="KopfzeileZchn">
    <w:name w:val="Kopfzeile Zchn"/>
    <w:basedOn w:val="Absatz-Standardschriftart"/>
    <w:link w:val="Kopfzeile"/>
    <w:uiPriority w:val="99"/>
    <w:rsid w:val="00CC2216"/>
  </w:style>
  <w:style w:type="paragraph" w:styleId="Fuzeile">
    <w:name w:val="footer"/>
    <w:basedOn w:val="Standard"/>
    <w:link w:val="FuzeileZchn"/>
    <w:uiPriority w:val="99"/>
    <w:unhideWhenUsed/>
    <w:rsid w:val="00CC2216"/>
    <w:pPr>
      <w:tabs>
        <w:tab w:val="center" w:pos="4536"/>
        <w:tab w:val="right" w:pos="9072"/>
      </w:tabs>
    </w:pPr>
  </w:style>
  <w:style w:type="character" w:customStyle="1" w:styleId="FuzeileZchn">
    <w:name w:val="Fußzeile Zchn"/>
    <w:basedOn w:val="Absatz-Standardschriftart"/>
    <w:link w:val="Fuzeile"/>
    <w:uiPriority w:val="99"/>
    <w:rsid w:val="00CC2216"/>
  </w:style>
  <w:style w:type="paragraph" w:styleId="StandardWeb">
    <w:name w:val="Normal (Web)"/>
    <w:basedOn w:val="Standard"/>
    <w:uiPriority w:val="99"/>
    <w:unhideWhenUsed/>
    <w:rsid w:val="00996806"/>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berschrift1Zchn">
    <w:name w:val="Überschrift 1 Zchn"/>
    <w:basedOn w:val="Absatz-Standardschriftart"/>
    <w:link w:val="berschrift1"/>
    <w:uiPriority w:val="9"/>
    <w:rsid w:val="00351F26"/>
    <w:rPr>
      <w:rFonts w:asciiTheme="majorHAnsi" w:eastAsiaTheme="majorEastAsia" w:hAnsiTheme="majorHAnsi" w:cstheme="majorBidi"/>
      <w:b/>
      <w:bCs/>
      <w:color w:val="2F5496" w:themeColor="accent1" w:themeShade="BF"/>
      <w:sz w:val="28"/>
      <w:szCs w:val="28"/>
      <w:lang w:val="en-US"/>
    </w:rPr>
  </w:style>
  <w:style w:type="character" w:customStyle="1" w:styleId="berschrift2Zchn">
    <w:name w:val="Überschrift 2 Zchn"/>
    <w:basedOn w:val="Absatz-Standardschriftart"/>
    <w:link w:val="berschrift2"/>
    <w:uiPriority w:val="9"/>
    <w:rsid w:val="00351F26"/>
    <w:rPr>
      <w:rFonts w:asciiTheme="majorHAnsi" w:eastAsiaTheme="majorEastAsia" w:hAnsiTheme="majorHAnsi" w:cstheme="majorBidi"/>
      <w:b/>
      <w:bCs/>
      <w:color w:val="4472C4" w:themeColor="accent1"/>
      <w:sz w:val="26"/>
      <w:szCs w:val="26"/>
      <w:lang w:val="en-US"/>
    </w:rPr>
  </w:style>
  <w:style w:type="paragraph" w:styleId="Aufzhlungszeichen">
    <w:name w:val="List Bullet"/>
    <w:basedOn w:val="Standard"/>
    <w:uiPriority w:val="99"/>
    <w:unhideWhenUsed/>
    <w:rsid w:val="00351F26"/>
    <w:pPr>
      <w:numPr>
        <w:numId w:val="1"/>
      </w:numPr>
      <w:spacing w:after="200" w:line="276" w:lineRule="auto"/>
      <w:contextualSpacing/>
    </w:pPr>
    <w:rPr>
      <w:rFonts w:eastAsiaTheme="minorEastAsia"/>
      <w:lang w:val="en-US"/>
    </w:rPr>
  </w:style>
  <w:style w:type="paragraph" w:customStyle="1" w:styleId="Erluterung">
    <w:name w:val="Erläuterung"/>
    <w:rsid w:val="00351F26"/>
    <w:pPr>
      <w:spacing w:after="200" w:line="276" w:lineRule="auto"/>
    </w:pPr>
    <w:rPr>
      <w:rFonts w:ascii="Arial" w:eastAsiaTheme="minorEastAsia" w:hAnsi="Arial"/>
      <w:sz w:val="21"/>
      <w:lang w:val="en-US"/>
    </w:rPr>
  </w:style>
  <w:style w:type="paragraph" w:styleId="Textkrper">
    <w:name w:val="Body Text"/>
    <w:basedOn w:val="Standard"/>
    <w:link w:val="TextkrperZchn"/>
    <w:uiPriority w:val="1"/>
    <w:qFormat/>
    <w:rsid w:val="00ED7B89"/>
    <w:pPr>
      <w:widowControl w:val="0"/>
      <w:autoSpaceDE w:val="0"/>
      <w:autoSpaceDN w:val="0"/>
      <w:spacing w:before="54"/>
      <w:ind w:left="85"/>
    </w:pPr>
    <w:rPr>
      <w:rFonts w:ascii="Arial" w:eastAsia="Arial" w:hAnsi="Arial" w:cs="Arial"/>
      <w:sz w:val="18"/>
      <w:szCs w:val="18"/>
    </w:rPr>
  </w:style>
  <w:style w:type="character" w:customStyle="1" w:styleId="TextkrperZchn">
    <w:name w:val="Textkörper Zchn"/>
    <w:basedOn w:val="Absatz-Standardschriftart"/>
    <w:link w:val="Textkrper"/>
    <w:uiPriority w:val="1"/>
    <w:rsid w:val="00ED7B89"/>
    <w:rPr>
      <w:rFonts w:ascii="Arial" w:eastAsia="Arial" w:hAnsi="Arial" w:cs="Arial"/>
      <w:sz w:val="18"/>
      <w:szCs w:val="18"/>
    </w:rPr>
  </w:style>
  <w:style w:type="paragraph" w:styleId="KeinLeerraum">
    <w:name w:val="No Spacing"/>
    <w:aliases w:val="DAT Kein Leerraum,DAT,Kein Leerraum DAT"/>
    <w:uiPriority w:val="1"/>
    <w:qFormat/>
    <w:rsid w:val="00300DC4"/>
    <w:pPr>
      <w:spacing w:after="0" w:line="240" w:lineRule="auto"/>
    </w:pPr>
    <w:rPr>
      <w:rFonts w:ascii="Arial" w:hAnsi="Arial"/>
      <w:sz w:val="20"/>
    </w:rPr>
  </w:style>
  <w:style w:type="table" w:customStyle="1" w:styleId="Tabellenraster1">
    <w:name w:val="Tabellenraster1"/>
    <w:basedOn w:val="NormaleTabelle"/>
    <w:next w:val="Tabellenraster"/>
    <w:uiPriority w:val="59"/>
    <w:rsid w:val="00510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FF76C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444879">
      <w:bodyDiv w:val="1"/>
      <w:marLeft w:val="0"/>
      <w:marRight w:val="0"/>
      <w:marTop w:val="0"/>
      <w:marBottom w:val="0"/>
      <w:divBdr>
        <w:top w:val="none" w:sz="0" w:space="0" w:color="auto"/>
        <w:left w:val="none" w:sz="0" w:space="0" w:color="auto"/>
        <w:bottom w:val="none" w:sz="0" w:space="0" w:color="auto"/>
        <w:right w:val="none" w:sz="0" w:space="0" w:color="auto"/>
      </w:divBdr>
    </w:div>
    <w:div w:id="1800537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9C0657C80C9EB42A8AE8AF1E32C18B5" ma:contentTypeVersion="16" ma:contentTypeDescription="Ein neues Dokument erstellen." ma:contentTypeScope="" ma:versionID="b48c60bcb5f7d428e64c16f8b40588dd">
  <xsd:schema xmlns:xsd="http://www.w3.org/2001/XMLSchema" xmlns:xs="http://www.w3.org/2001/XMLSchema" xmlns:p="http://schemas.microsoft.com/office/2006/metadata/properties" xmlns:ns2="bbb3f655-f267-4a84-b742-532fbc77d0ab" xmlns:ns3="f5f3c0c8-cb47-4a26-91a1-a44bb4539247" targetNamespace="http://schemas.microsoft.com/office/2006/metadata/properties" ma:root="true" ma:fieldsID="dfa5347d09fbae1c92fe6be18fe04650" ns2:_="" ns3:_="">
    <xsd:import namespace="bbb3f655-f267-4a84-b742-532fbc77d0ab"/>
    <xsd:import namespace="f5f3c0c8-cb47-4a26-91a1-a44bb45392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3f655-f267-4a84-b742-532fbc77d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5f3c0c8-cb47-4a26-91a1-a44bb4539247"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0bcdc34-3acf-42b1-abfa-b6ef944057a8}" ma:internalName="TaxCatchAll" ma:showField="CatchAllData" ma:web="f5f3c0c8-cb47-4a26-91a1-a44bb45392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F9F6E8-AB62-4400-BDA8-23707CAE1767}">
  <ds:schemaRefs>
    <ds:schemaRef ds:uri="http://schemas.microsoft.com/sharepoint/v3/contenttype/forms"/>
  </ds:schemaRefs>
</ds:datastoreItem>
</file>

<file path=customXml/itemProps2.xml><?xml version="1.0" encoding="utf-8"?>
<ds:datastoreItem xmlns:ds="http://schemas.openxmlformats.org/officeDocument/2006/customXml" ds:itemID="{F4367F3A-9DED-4763-9A07-E2AC735F90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b3f655-f267-4a84-b742-532fbc77d0ab"/>
    <ds:schemaRef ds:uri="f5f3c0c8-cb47-4a26-91a1-a44bb45392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552</Words>
  <Characters>3551</Characters>
  <Application>Microsoft Office Word</Application>
  <DocSecurity>0</DocSecurity>
  <Lines>84</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SoW - Sophia Wiesmann</dc:creator>
  <cp:keywords/>
  <dc:description/>
  <cp:lastModifiedBy>Nicole</cp:lastModifiedBy>
  <cp:revision>2</cp:revision>
  <dcterms:created xsi:type="dcterms:W3CDTF">2026-04-28T09:10:00Z</dcterms:created>
  <dcterms:modified xsi:type="dcterms:W3CDTF">2026-04-28T09:10:00Z</dcterms:modified>
</cp:coreProperties>
</file>