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B6C5C" w14:textId="0DBA375D" w:rsidR="00E35B85" w:rsidRPr="00186E10" w:rsidRDefault="00E35B85" w:rsidP="00E35B85">
      <w:pPr>
        <w:rPr>
          <w:rFonts w:ascii="Arial" w:hAnsi="Arial" w:cs="Arial"/>
          <w:b/>
          <w:bCs/>
          <w:color w:val="000000" w:themeColor="text1"/>
        </w:rPr>
      </w:pPr>
      <w:r>
        <w:rPr>
          <w:rFonts w:ascii="Arial" w:hAnsi="Arial" w:cs="Arial"/>
          <w:b/>
          <w:bCs/>
          <w:color w:val="000000" w:themeColor="text1"/>
        </w:rPr>
        <w:t>Übersicht</w:t>
      </w:r>
      <w:r w:rsidRPr="00186E10">
        <w:rPr>
          <w:rFonts w:ascii="Arial" w:hAnsi="Arial" w:cs="Arial"/>
          <w:b/>
          <w:bCs/>
          <w:color w:val="000000" w:themeColor="text1"/>
        </w:rPr>
        <w:t xml:space="preserve">: </w:t>
      </w:r>
      <w:bookmarkStart w:id="0" w:name="_GoBack"/>
      <w:r w:rsidRPr="00186E10">
        <w:rPr>
          <w:rFonts w:ascii="Arial" w:hAnsi="Arial" w:cs="Arial"/>
          <w:b/>
          <w:bCs/>
          <w:color w:val="000000" w:themeColor="text1"/>
        </w:rPr>
        <w:t>Typische Fehler</w:t>
      </w:r>
      <w:r>
        <w:rPr>
          <w:rFonts w:ascii="Arial" w:hAnsi="Arial" w:cs="Arial"/>
          <w:b/>
          <w:bCs/>
          <w:color w:val="000000" w:themeColor="text1"/>
        </w:rPr>
        <w:t xml:space="preserve"> bei der DSFA</w:t>
      </w:r>
      <w:bookmarkEnd w:id="0"/>
    </w:p>
    <w:p w14:paraId="4BC8DD8A" w14:textId="77777777" w:rsidR="00E35B85" w:rsidRDefault="00E35B85" w:rsidP="00E35B85"/>
    <w:tbl>
      <w:tblPr>
        <w:tblStyle w:val="TabellemithellemGitternetz"/>
        <w:tblW w:w="0" w:type="auto"/>
        <w:tblLook w:val="04A0" w:firstRow="1" w:lastRow="0" w:firstColumn="1" w:lastColumn="0" w:noHBand="0" w:noVBand="1"/>
      </w:tblPr>
      <w:tblGrid>
        <w:gridCol w:w="2419"/>
        <w:gridCol w:w="3295"/>
        <w:gridCol w:w="3348"/>
      </w:tblGrid>
      <w:tr w:rsidR="00E35B85" w:rsidRPr="00C87BC9" w14:paraId="0A98EFA8" w14:textId="77777777" w:rsidTr="00EA5FC1">
        <w:tc>
          <w:tcPr>
            <w:tcW w:w="0" w:type="auto"/>
            <w:hideMark/>
          </w:tcPr>
          <w:p w14:paraId="73E7C1FC" w14:textId="77777777" w:rsidR="00E35B85" w:rsidRPr="00C87BC9" w:rsidRDefault="00E35B85" w:rsidP="00EA5FC1">
            <w:pPr>
              <w:spacing w:after="160" w:line="278" w:lineRule="auto"/>
              <w:rPr>
                <w:rFonts w:ascii="Arial" w:hAnsi="Arial" w:cs="Arial"/>
                <w:b/>
                <w:bCs/>
                <w:color w:val="000000" w:themeColor="text1"/>
              </w:rPr>
            </w:pPr>
            <w:r w:rsidRPr="00C87BC9">
              <w:rPr>
                <w:rFonts w:ascii="Arial" w:hAnsi="Arial" w:cs="Arial"/>
                <w:b/>
                <w:bCs/>
                <w:color w:val="000000" w:themeColor="text1"/>
              </w:rPr>
              <w:t>Problem</w:t>
            </w:r>
          </w:p>
        </w:tc>
        <w:tc>
          <w:tcPr>
            <w:tcW w:w="0" w:type="auto"/>
            <w:hideMark/>
          </w:tcPr>
          <w:p w14:paraId="1D09CBFF" w14:textId="77777777" w:rsidR="00E35B85" w:rsidRPr="00C87BC9" w:rsidRDefault="00E35B85" w:rsidP="00EA5FC1">
            <w:pPr>
              <w:spacing w:after="160" w:line="278" w:lineRule="auto"/>
              <w:rPr>
                <w:rFonts w:ascii="Arial" w:hAnsi="Arial" w:cs="Arial"/>
                <w:b/>
                <w:bCs/>
                <w:color w:val="000000" w:themeColor="text1"/>
              </w:rPr>
            </w:pPr>
            <w:r w:rsidRPr="00C87BC9">
              <w:rPr>
                <w:rFonts w:ascii="Arial" w:hAnsi="Arial" w:cs="Arial"/>
                <w:b/>
                <w:bCs/>
                <w:color w:val="000000" w:themeColor="text1"/>
              </w:rPr>
              <w:t>Typische Folge in der Praxis</w:t>
            </w:r>
          </w:p>
        </w:tc>
        <w:tc>
          <w:tcPr>
            <w:tcW w:w="0" w:type="auto"/>
            <w:hideMark/>
          </w:tcPr>
          <w:p w14:paraId="1BE3BB66" w14:textId="77777777" w:rsidR="00E35B85" w:rsidRPr="00C87BC9" w:rsidRDefault="00E35B85" w:rsidP="00EA5FC1">
            <w:pPr>
              <w:spacing w:after="160" w:line="278" w:lineRule="auto"/>
              <w:rPr>
                <w:rFonts w:ascii="Arial" w:hAnsi="Arial" w:cs="Arial"/>
                <w:b/>
                <w:bCs/>
                <w:color w:val="000000" w:themeColor="text1"/>
              </w:rPr>
            </w:pPr>
            <w:r w:rsidRPr="00C87BC9">
              <w:rPr>
                <w:rFonts w:ascii="Arial" w:hAnsi="Arial" w:cs="Arial"/>
                <w:b/>
                <w:bCs/>
                <w:color w:val="000000" w:themeColor="text1"/>
              </w:rPr>
              <w:t>Bessere Vorgehensweise</w:t>
            </w:r>
          </w:p>
        </w:tc>
      </w:tr>
      <w:tr w:rsidR="00E35B85" w:rsidRPr="00C87BC9" w14:paraId="2F7E9606" w14:textId="77777777" w:rsidTr="00EA5FC1">
        <w:tc>
          <w:tcPr>
            <w:tcW w:w="0" w:type="auto"/>
            <w:hideMark/>
          </w:tcPr>
          <w:p w14:paraId="282EAAF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DSFA wird zu spät durchgeführt</w:t>
            </w:r>
            <w:r>
              <w:rPr>
                <w:rFonts w:ascii="Arial" w:hAnsi="Arial" w:cs="Arial"/>
                <w:color w:val="000000" w:themeColor="text1"/>
              </w:rPr>
              <w:t>.</w:t>
            </w:r>
          </w:p>
        </w:tc>
        <w:tc>
          <w:tcPr>
            <w:tcW w:w="0" w:type="auto"/>
            <w:hideMark/>
          </w:tcPr>
          <w:p w14:paraId="2161A2A5"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Die DSFA erfolgt erst kurz vor oder nach Einführung des Systems. Risiken werden zu spät erkannt, Maßnahmen können nicht mehr sinnvoll umgesetzt werden oder führen zu Verzögerungen im Projekt.</w:t>
            </w:r>
          </w:p>
        </w:tc>
        <w:tc>
          <w:tcPr>
            <w:tcW w:w="0" w:type="auto"/>
            <w:hideMark/>
          </w:tcPr>
          <w:p w14:paraId="39A95069"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Verankern Sie die DSFA als festen Prüfschritt im Projektablauf, idealerweise bereits bei der Toolauswahl oder Freigabe neuer Prozesse. Stellen Sie sicher, dass der Datenschutz nicht erst nach Vertragsabschluss oder technischer Implementierung eingebunden wird. Sinnvoll ist ein interner Eskalationsmechanismus: Sobald ein neues KI-</w:t>
            </w:r>
            <w:r>
              <w:rPr>
                <w:rFonts w:ascii="Arial" w:hAnsi="Arial" w:cs="Arial"/>
                <w:color w:val="000000" w:themeColor="text1"/>
              </w:rPr>
              <w:t>System</w:t>
            </w:r>
            <w:r w:rsidRPr="00C87BC9">
              <w:rPr>
                <w:rFonts w:ascii="Arial" w:hAnsi="Arial" w:cs="Arial"/>
                <w:color w:val="000000" w:themeColor="text1"/>
              </w:rPr>
              <w:t xml:space="preserve"> personenbezogene Daten verarbeitet oder Entscheidungen vorbereitet, muss automatisch geprüft werden, ob eine DSFA erforderlich ist.</w:t>
            </w:r>
          </w:p>
        </w:tc>
      </w:tr>
      <w:tr w:rsidR="00E35B85" w:rsidRPr="00C87BC9" w14:paraId="352F03D6" w14:textId="77777777" w:rsidTr="00EA5FC1">
        <w:tc>
          <w:tcPr>
            <w:tcW w:w="0" w:type="auto"/>
          </w:tcPr>
          <w:p w14:paraId="264E41C4" w14:textId="77777777" w:rsidR="00E35B85" w:rsidRPr="00C87BC9" w:rsidRDefault="00E35B85" w:rsidP="00EA5FC1">
            <w:pPr>
              <w:rPr>
                <w:rFonts w:ascii="Arial" w:hAnsi="Arial" w:cs="Arial"/>
                <w:color w:val="000000" w:themeColor="text1"/>
              </w:rPr>
            </w:pPr>
            <w:r w:rsidRPr="00515BAC">
              <w:rPr>
                <w:rFonts w:ascii="Arial" w:hAnsi="Arial" w:cs="Arial"/>
              </w:rPr>
              <w:t xml:space="preserve">Fehlende </w:t>
            </w:r>
            <w:proofErr w:type="spellStart"/>
            <w:r w:rsidRPr="00515BAC">
              <w:rPr>
                <w:rFonts w:ascii="Arial" w:hAnsi="Arial" w:cs="Arial"/>
              </w:rPr>
              <w:t>Governance</w:t>
            </w:r>
            <w:proofErr w:type="spellEnd"/>
            <w:r w:rsidRPr="00515BAC">
              <w:rPr>
                <w:rFonts w:ascii="Arial" w:hAnsi="Arial" w:cs="Arial"/>
              </w:rPr>
              <w:t>-Strukturen</w:t>
            </w:r>
          </w:p>
        </w:tc>
        <w:tc>
          <w:tcPr>
            <w:tcW w:w="0" w:type="auto"/>
          </w:tcPr>
          <w:p w14:paraId="233DD106" w14:textId="77777777" w:rsidR="00E35B85" w:rsidRPr="00C87BC9" w:rsidRDefault="00E35B85" w:rsidP="00EA5FC1">
            <w:pPr>
              <w:rPr>
                <w:rFonts w:ascii="Arial" w:hAnsi="Arial" w:cs="Arial"/>
                <w:color w:val="000000" w:themeColor="text1"/>
              </w:rPr>
            </w:pPr>
            <w:r w:rsidRPr="004F4BB0">
              <w:rPr>
                <w:rFonts w:ascii="Arial" w:hAnsi="Arial" w:cs="Arial"/>
              </w:rPr>
              <w:t xml:space="preserve">Es fehlen klare Zuständigkeiten, verbindliche Prozesse und transparente Entscheidungswege für den Einsatz und die Kontrolle von KI-Systemen. Ohne eine funktionierende </w:t>
            </w:r>
            <w:proofErr w:type="spellStart"/>
            <w:r w:rsidRPr="004F4BB0">
              <w:rPr>
                <w:rFonts w:ascii="Arial" w:hAnsi="Arial" w:cs="Arial"/>
              </w:rPr>
              <w:t>Governance</w:t>
            </w:r>
            <w:proofErr w:type="spellEnd"/>
            <w:r w:rsidRPr="004F4BB0">
              <w:rPr>
                <w:rFonts w:ascii="Arial" w:hAnsi="Arial" w:cs="Arial"/>
              </w:rPr>
              <w:t xml:space="preserve"> lassen sich Risiken weder systematisch erkennen noch wirksam steuern und überwachen.</w:t>
            </w:r>
          </w:p>
        </w:tc>
        <w:tc>
          <w:tcPr>
            <w:tcW w:w="0" w:type="auto"/>
          </w:tcPr>
          <w:p w14:paraId="15889E56" w14:textId="77777777" w:rsidR="00E35B85" w:rsidRPr="00C87BC9" w:rsidRDefault="00E35B85" w:rsidP="00EA5FC1">
            <w:pPr>
              <w:rPr>
                <w:rFonts w:ascii="Arial" w:hAnsi="Arial" w:cs="Arial"/>
                <w:color w:val="000000" w:themeColor="text1"/>
              </w:rPr>
            </w:pPr>
            <w:r>
              <w:rPr>
                <w:rFonts w:ascii="Arial" w:hAnsi="Arial" w:cs="Arial"/>
              </w:rPr>
              <w:t>A</w:t>
            </w:r>
            <w:r w:rsidRPr="004F4BB0">
              <w:rPr>
                <w:rFonts w:ascii="Arial" w:hAnsi="Arial" w:cs="Arial"/>
              </w:rPr>
              <w:t>ufbau einer klaren KI-</w:t>
            </w:r>
            <w:proofErr w:type="spellStart"/>
            <w:r w:rsidRPr="004F4BB0">
              <w:rPr>
                <w:rFonts w:ascii="Arial" w:hAnsi="Arial" w:cs="Arial"/>
              </w:rPr>
              <w:t>Governance</w:t>
            </w:r>
            <w:proofErr w:type="spellEnd"/>
            <w:r w:rsidRPr="004F4BB0">
              <w:rPr>
                <w:rFonts w:ascii="Arial" w:hAnsi="Arial" w:cs="Arial"/>
              </w:rPr>
              <w:t xml:space="preserve"> mit definierten Verantwortlichkeiten, festen Prozessen und geeigneten Kontrollmechanismen. Achten Sie darauf, das KI-Compliance-System eng mit dem Datenschutzmanagement zu verzahnen, um Überschneidungen effizient zu nutzen.</w:t>
            </w:r>
          </w:p>
        </w:tc>
      </w:tr>
      <w:tr w:rsidR="00E35B85" w:rsidRPr="00C87BC9" w14:paraId="1C0E94F9" w14:textId="77777777" w:rsidTr="00EA5FC1">
        <w:tc>
          <w:tcPr>
            <w:tcW w:w="0" w:type="auto"/>
            <w:hideMark/>
          </w:tcPr>
          <w:p w14:paraId="67B3043A"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Fokus nur auf das Tool statt auf die konkrete Anwendung</w:t>
            </w:r>
          </w:p>
        </w:tc>
        <w:tc>
          <w:tcPr>
            <w:tcW w:w="0" w:type="auto"/>
            <w:hideMark/>
          </w:tcPr>
          <w:p w14:paraId="59B61CF4"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Es wird nur das KI-</w:t>
            </w:r>
            <w:r>
              <w:rPr>
                <w:rFonts w:ascii="Arial" w:hAnsi="Arial" w:cs="Arial"/>
                <w:color w:val="000000" w:themeColor="text1"/>
              </w:rPr>
              <w:t>System</w:t>
            </w:r>
            <w:r w:rsidRPr="00C87BC9">
              <w:rPr>
                <w:rFonts w:ascii="Arial" w:hAnsi="Arial" w:cs="Arial"/>
                <w:color w:val="000000" w:themeColor="text1"/>
              </w:rPr>
              <w:t xml:space="preserve"> bewertet, nicht aber der konkrete Einsatz im Unternehmen. Dadurch werden Risiken unterschätzt oder falsch eingeordnet.</w:t>
            </w:r>
          </w:p>
        </w:tc>
        <w:tc>
          <w:tcPr>
            <w:tcW w:w="0" w:type="auto"/>
            <w:hideMark/>
          </w:tcPr>
          <w:p w14:paraId="3A81AE75"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Prüfen Sie nicht nur, was das Tool technisch kann, sondern wie es im Unternehmen tatsächlich genutzt werden soll. Dokumentieren Sie den konkreten Use Case: Welche Daten werden eingegeben, welche Ergebnisse erzeugt, wer nutzt diese Ergebnisse </w:t>
            </w:r>
            <w:r w:rsidRPr="00C87BC9">
              <w:rPr>
                <w:rFonts w:ascii="Arial" w:hAnsi="Arial" w:cs="Arial"/>
                <w:color w:val="000000" w:themeColor="text1"/>
              </w:rPr>
              <w:lastRenderedPageBreak/>
              <w:t>weiter und welche Auswirkungen haben sie auf Betroffene? Ein und dasselbe Tool kann je nach Einsatz harmlos oder DSFA-pflichtig sein.</w:t>
            </w:r>
          </w:p>
        </w:tc>
      </w:tr>
      <w:tr w:rsidR="00E35B85" w:rsidRPr="00C87BC9" w14:paraId="34443AF0" w14:textId="77777777" w:rsidTr="00EA5FC1">
        <w:tc>
          <w:tcPr>
            <w:tcW w:w="0" w:type="auto"/>
            <w:hideMark/>
          </w:tcPr>
          <w:p w14:paraId="7675DF75"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Fehlende Einbindung der IT und Fachabteilungen</w:t>
            </w:r>
          </w:p>
        </w:tc>
        <w:tc>
          <w:tcPr>
            <w:tcW w:w="0" w:type="auto"/>
            <w:hideMark/>
          </w:tcPr>
          <w:p w14:paraId="230A84E4"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Technische Abläufe, Datenflüsse oder Systemgrenzen werden nicht vollständig verstanden. Risiken bleiben unentdeckt oder werden falsch bewertet.</w:t>
            </w:r>
          </w:p>
        </w:tc>
        <w:tc>
          <w:tcPr>
            <w:tcW w:w="0" w:type="auto"/>
            <w:hideMark/>
          </w:tcPr>
          <w:p w14:paraId="6598DC31" w14:textId="77777777" w:rsidR="00E35B85" w:rsidRPr="00C87BC9" w:rsidRDefault="00E35B85" w:rsidP="00EA5FC1">
            <w:pPr>
              <w:spacing w:after="160" w:line="278" w:lineRule="auto"/>
              <w:rPr>
                <w:rFonts w:ascii="Arial" w:hAnsi="Arial" w:cs="Arial"/>
                <w:color w:val="000000" w:themeColor="text1"/>
              </w:rPr>
            </w:pPr>
            <w:r w:rsidRPr="004F4BB0">
              <w:rPr>
                <w:rFonts w:ascii="Arial" w:hAnsi="Arial" w:cs="Arial"/>
                <w:color w:val="000000" w:themeColor="text1"/>
              </w:rPr>
              <w:t>Führen Sie die DSFA interdisziplinär durch. Die IT sollte Datenflüsse, Schnittstellen, Hosting und Sicherheitsmaßnahmen erläutern, die Fachabteilung den Zweck, den tatsächlichen Einsatz und die Entscheidungslogik. Einkauf, Legal oder Compliance sind einzubinden, wenn Anbieter, Verträge oder Drittlandtransfers betroffen sind.</w:t>
            </w:r>
            <w:r w:rsidRPr="004F4BB0">
              <w:rPr>
                <w:rFonts w:ascii="Arial" w:hAnsi="Arial" w:cs="Arial"/>
                <w:color w:val="000000" w:themeColor="text1"/>
              </w:rPr>
              <w:br/>
              <w:t>Idealerweise ist diese Zusammenarbeit prozessual festgelegt, sodass klar geregelt ist, wer welche Informationen beisteuert – und nicht erst durch den Datenschutzbeauftragten angestoßen werden muss.</w:t>
            </w:r>
          </w:p>
        </w:tc>
      </w:tr>
      <w:tr w:rsidR="00E35B85" w:rsidRPr="00C87BC9" w14:paraId="3A066EDE" w14:textId="77777777" w:rsidTr="00EA5FC1">
        <w:tc>
          <w:tcPr>
            <w:tcW w:w="0" w:type="auto"/>
            <w:hideMark/>
          </w:tcPr>
          <w:p w14:paraId="3895DBAF"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Unzureichendes Verständnis der KI-Funktionsweise</w:t>
            </w:r>
          </w:p>
        </w:tc>
        <w:tc>
          <w:tcPr>
            <w:tcW w:w="0" w:type="auto"/>
            <w:hideMark/>
          </w:tcPr>
          <w:p w14:paraId="6819A1E3"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Komplexe Modelle werden vereinfacht dargestellt oder gar nicht hinterfragt. Risiken wie „Blackbox“, Bias oder Modellverhalten werden nicht erkannt.</w:t>
            </w:r>
          </w:p>
        </w:tc>
        <w:tc>
          <w:tcPr>
            <w:tcW w:w="0" w:type="auto"/>
            <w:hideMark/>
          </w:tcPr>
          <w:p w14:paraId="3A646F16"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Verlangen Sie keine mathematische Detailanalyse, aber ein belastbares Grundverständnis des Systems. Klären Sie insbesondere, welche Eingaben verarbeitet werden, wie Ergebnisse entstehen, ob das System trainiert oder nachjustiert wird und welche Grenzen der Anbieter selbst nennt. Wenn intern das Know-how fehlt, sollten technische </w:t>
            </w:r>
            <w:r w:rsidRPr="00C87BC9">
              <w:rPr>
                <w:rFonts w:ascii="Arial" w:hAnsi="Arial" w:cs="Arial"/>
                <w:color w:val="000000" w:themeColor="text1"/>
              </w:rPr>
              <w:lastRenderedPageBreak/>
              <w:t>Ansprechpartner oder externe Sachkundige hinzugezogen werden.</w:t>
            </w:r>
          </w:p>
        </w:tc>
      </w:tr>
      <w:tr w:rsidR="00E35B85" w:rsidRPr="00C87BC9" w14:paraId="25CAC385" w14:textId="77777777" w:rsidTr="00EA5FC1">
        <w:tc>
          <w:tcPr>
            <w:tcW w:w="0" w:type="auto"/>
            <w:hideMark/>
          </w:tcPr>
          <w:p w14:paraId="23D8064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 xml:space="preserve">„Human in </w:t>
            </w:r>
            <w:proofErr w:type="spellStart"/>
            <w:r w:rsidRPr="00C87BC9">
              <w:rPr>
                <w:rFonts w:ascii="Arial" w:hAnsi="Arial" w:cs="Arial"/>
                <w:color w:val="000000" w:themeColor="text1"/>
              </w:rPr>
              <w:t>the</w:t>
            </w:r>
            <w:proofErr w:type="spellEnd"/>
            <w:r w:rsidRPr="00C87BC9">
              <w:rPr>
                <w:rFonts w:ascii="Arial" w:hAnsi="Arial" w:cs="Arial"/>
                <w:color w:val="000000" w:themeColor="text1"/>
              </w:rPr>
              <w:t xml:space="preserve"> Loop“ nur formal umgesetzt</w:t>
            </w:r>
          </w:p>
        </w:tc>
        <w:tc>
          <w:tcPr>
            <w:tcW w:w="0" w:type="auto"/>
            <w:hideMark/>
          </w:tcPr>
          <w:p w14:paraId="3174A9A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Menschliche Kontrolle ist zwar vorgesehen, erfolgt aber in der Praxis nicht ernsthaft. KI-Ergebnisse werden routinemäßig übernommen.</w:t>
            </w:r>
          </w:p>
        </w:tc>
        <w:tc>
          <w:tcPr>
            <w:tcW w:w="0" w:type="auto"/>
            <w:hideMark/>
          </w:tcPr>
          <w:p w14:paraId="639D54CA" w14:textId="77777777" w:rsidR="00E35B85" w:rsidRPr="00C87BC9" w:rsidRDefault="00E35B85" w:rsidP="00EA5FC1">
            <w:pPr>
              <w:spacing w:after="160" w:line="278" w:lineRule="auto"/>
              <w:rPr>
                <w:rFonts w:ascii="Arial" w:hAnsi="Arial" w:cs="Arial"/>
                <w:color w:val="000000" w:themeColor="text1"/>
              </w:rPr>
            </w:pPr>
            <w:r w:rsidRPr="004F4BB0">
              <w:rPr>
                <w:rFonts w:ascii="Arial" w:hAnsi="Arial" w:cs="Arial"/>
                <w:color w:val="000000" w:themeColor="text1"/>
              </w:rPr>
              <w:t>Definieren Sie klar, wann und wie menschliche Kontrolle erfolgen muss. Es genügt nicht, dass theoretisch jemand „</w:t>
            </w:r>
            <w:proofErr w:type="spellStart"/>
            <w:r w:rsidRPr="004F4BB0">
              <w:rPr>
                <w:rFonts w:ascii="Arial" w:hAnsi="Arial" w:cs="Arial"/>
                <w:color w:val="000000" w:themeColor="text1"/>
              </w:rPr>
              <w:t>drüberschauen</w:t>
            </w:r>
            <w:proofErr w:type="spellEnd"/>
            <w:r w:rsidRPr="004F4BB0">
              <w:rPr>
                <w:rFonts w:ascii="Arial" w:hAnsi="Arial" w:cs="Arial"/>
                <w:color w:val="000000" w:themeColor="text1"/>
              </w:rPr>
              <w:t xml:space="preserve"> könnte“. Die zuständigen Personen müssen über ausreichend Zeit, Kompetenz und Entscheidungsspielraum verfügen, um KI-Ergebnisse kritisch zu prüfen, anzupassen oder abzulehnen.</w:t>
            </w:r>
            <w:r w:rsidRPr="004F4BB0">
              <w:rPr>
                <w:rFonts w:ascii="Arial" w:hAnsi="Arial" w:cs="Arial"/>
                <w:color w:val="000000" w:themeColor="text1"/>
              </w:rPr>
              <w:br/>
              <w:t>Ebenso wichtig: Schaffen Sie eine Unternehmenskultur, in der Mitarbeitende diese Kontrolle auch tatsächlich ausüben können, ohne persönliche Nachteile oder Haftungsrisiken befürchten zu müssen. Dokumentieren Sie die Kontrollschritte und schulen Sie gezielt im Umgang mit typischen Fehlleistungen von KI-Systemen.</w:t>
            </w:r>
          </w:p>
        </w:tc>
      </w:tr>
      <w:tr w:rsidR="00E35B85" w:rsidRPr="00C87BC9" w14:paraId="06DA1746" w14:textId="77777777" w:rsidTr="00EA5FC1">
        <w:tc>
          <w:tcPr>
            <w:tcW w:w="0" w:type="auto"/>
            <w:hideMark/>
          </w:tcPr>
          <w:p w14:paraId="6EBB7BA3"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Blindes Vertrauen in Anbieter</w:t>
            </w:r>
          </w:p>
        </w:tc>
        <w:tc>
          <w:tcPr>
            <w:tcW w:w="0" w:type="auto"/>
            <w:hideMark/>
          </w:tcPr>
          <w:p w14:paraId="2983108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Aussagen des KI-Anbieters werden ungeprüft übernommen (z. B. „DSGVO-konform“). Risiken bei Trainingsdaten, Datenflüssen oder Modellverhalten bleiben unbeachtet.</w:t>
            </w:r>
          </w:p>
        </w:tc>
        <w:tc>
          <w:tcPr>
            <w:tcW w:w="0" w:type="auto"/>
            <w:hideMark/>
          </w:tcPr>
          <w:p w14:paraId="241CFB1C"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Behandeln Sie Anbieterangaben als Ausgangspunkt, nicht als abschließende Bewertung. Fordern Sie belastbare Informationen zu Datenverarbeitung, Speicherorten, Unterauftragsverarbeitern, Trainingsnutzung, Löschmöglichkeiten und Sicherheitsmaßnahmen an. Lassen Sie sich kritische Aussagen vertraglich </w:t>
            </w:r>
            <w:r w:rsidRPr="00C87BC9">
              <w:rPr>
                <w:rFonts w:ascii="Arial" w:hAnsi="Arial" w:cs="Arial"/>
                <w:color w:val="000000" w:themeColor="text1"/>
              </w:rPr>
              <w:lastRenderedPageBreak/>
              <w:t>absichern, etwa zu Zweckbindung, Support, Auditmöglichkeiten oder Datenverwendung. Gerade bei KI-Diensten müssen Marketingaussagen durch belastbare Fakten ersetzt werden.</w:t>
            </w:r>
          </w:p>
        </w:tc>
      </w:tr>
      <w:tr w:rsidR="00E35B85" w:rsidRPr="00C87BC9" w14:paraId="566B6636" w14:textId="77777777" w:rsidTr="00EA5FC1">
        <w:tc>
          <w:tcPr>
            <w:tcW w:w="0" w:type="auto"/>
            <w:hideMark/>
          </w:tcPr>
          <w:p w14:paraId="77BB9172"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Unklare Datenflüsse und Datenverarbeitung</w:t>
            </w:r>
          </w:p>
        </w:tc>
        <w:tc>
          <w:tcPr>
            <w:tcW w:w="0" w:type="auto"/>
            <w:hideMark/>
          </w:tcPr>
          <w:p w14:paraId="71C7CB6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Es ist nicht transparent, welche Daten verarbeitet, gespeichert oder weitergegeben werden, insbesondere bei Cloud- oder KI-Diensten.</w:t>
            </w:r>
          </w:p>
        </w:tc>
        <w:tc>
          <w:tcPr>
            <w:tcW w:w="0" w:type="auto"/>
            <w:hideMark/>
          </w:tcPr>
          <w:p w14:paraId="18D249F1" w14:textId="77777777" w:rsidR="00E35B85" w:rsidRPr="00C87BC9" w:rsidRDefault="00E35B85" w:rsidP="00EA5FC1">
            <w:pPr>
              <w:spacing w:after="160" w:line="278" w:lineRule="auto"/>
              <w:rPr>
                <w:rFonts w:ascii="Arial" w:hAnsi="Arial" w:cs="Arial"/>
                <w:color w:val="000000" w:themeColor="text1"/>
              </w:rPr>
            </w:pPr>
            <w:r>
              <w:rPr>
                <w:rFonts w:ascii="Arial" w:hAnsi="Arial" w:cs="Arial"/>
                <w:color w:val="000000" w:themeColor="text1"/>
              </w:rPr>
              <w:t>F</w:t>
            </w:r>
            <w:r w:rsidRPr="004F4BB0">
              <w:rPr>
                <w:rFonts w:ascii="Arial" w:hAnsi="Arial" w:cs="Arial"/>
                <w:color w:val="000000" w:themeColor="text1"/>
              </w:rPr>
              <w:t xml:space="preserve">ordern Sie von den zuständigen Fachbereichen oder Projektverantwortlichen eine nachvollziehbare Darstellung der Datenflüsse ein. Der </w:t>
            </w:r>
            <w:r>
              <w:rPr>
                <w:rFonts w:ascii="Arial" w:hAnsi="Arial" w:cs="Arial"/>
                <w:color w:val="000000" w:themeColor="text1"/>
              </w:rPr>
              <w:t xml:space="preserve">Datenschutzbeauftrage </w:t>
            </w:r>
            <w:r w:rsidRPr="004F4BB0">
              <w:rPr>
                <w:rFonts w:ascii="Arial" w:hAnsi="Arial" w:cs="Arial"/>
                <w:color w:val="000000" w:themeColor="text1"/>
              </w:rPr>
              <w:t>kann hierbei unterstützen, etwa bei der Strukturierung und Bewertung.</w:t>
            </w:r>
            <w:r w:rsidRPr="004F4BB0">
              <w:rPr>
                <w:rFonts w:ascii="Arial" w:hAnsi="Arial" w:cs="Arial"/>
                <w:color w:val="000000" w:themeColor="text1"/>
              </w:rPr>
              <w:br/>
              <w:t>Wichtig ist: Welche Daten stammen aus welchen Quellen, wohin werden sie übertragen, wer hat Zugriff und wie lange werden sie gespeichert? Berücksichtigen Sie dabei auch Protokollierungen, Telemetriedaten, Supportzugriffe und mögliche Weitergaben an Unterauftragnehmer. Ohne ein belastbares Datenflussbild bleibt jede DSFA lückenhaft.</w:t>
            </w:r>
          </w:p>
        </w:tc>
      </w:tr>
      <w:tr w:rsidR="00E35B85" w:rsidRPr="00C87BC9" w14:paraId="61AAF2FC" w14:textId="77777777" w:rsidTr="00EA5FC1">
        <w:tc>
          <w:tcPr>
            <w:tcW w:w="0" w:type="auto"/>
            <w:hideMark/>
          </w:tcPr>
          <w:p w14:paraId="713D0047"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Trainingsdaten und deren Herkunft werden nicht geprüft</w:t>
            </w:r>
            <w:r>
              <w:rPr>
                <w:rFonts w:ascii="Arial" w:hAnsi="Arial" w:cs="Arial"/>
                <w:color w:val="000000" w:themeColor="text1"/>
              </w:rPr>
              <w:t>.</w:t>
            </w:r>
            <w:r w:rsidRPr="00C87BC9">
              <w:rPr>
                <w:rFonts w:ascii="Arial" w:hAnsi="Arial" w:cs="Arial"/>
                <w:color w:val="000000" w:themeColor="text1"/>
              </w:rPr>
              <w:t xml:space="preserve"> </w:t>
            </w:r>
          </w:p>
        </w:tc>
        <w:tc>
          <w:tcPr>
            <w:tcW w:w="0" w:type="auto"/>
            <w:hideMark/>
          </w:tcPr>
          <w:p w14:paraId="4C409BC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Es bleibt unklar, ob Trainingsdaten rechtmäßig erhoben wurden oder Verzerrungen enthalten. Risiko von Datenschutzverstößen und Diskriminierung.</w:t>
            </w:r>
          </w:p>
        </w:tc>
        <w:tc>
          <w:tcPr>
            <w:tcW w:w="0" w:type="auto"/>
            <w:hideMark/>
          </w:tcPr>
          <w:p w14:paraId="65A40D9B"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Klären Sie, ob das eingesetzte System mit eigenen Daten, Kundendaten oder Daten des Anbieters trainiert wurde oder weitertrainiert wird. Verlangen Sie Informationen zur Herkunft, Qualität und Zulässigkeit der Trainingsdaten. Soweit keine </w:t>
            </w:r>
            <w:r w:rsidRPr="00C87BC9">
              <w:rPr>
                <w:rFonts w:ascii="Arial" w:hAnsi="Arial" w:cs="Arial"/>
                <w:color w:val="000000" w:themeColor="text1"/>
              </w:rPr>
              <w:lastRenderedPageBreak/>
              <w:t>vollständige Transparenz möglich ist, sollten zumindest vertragliche Zusicherungen, Risikoabwägungen und Beschränkungen des Einsatzes dokumentiert werden.</w:t>
            </w:r>
          </w:p>
        </w:tc>
      </w:tr>
      <w:tr w:rsidR="00E35B85" w:rsidRPr="00C87BC9" w14:paraId="705EADE1" w14:textId="77777777" w:rsidTr="00EA5FC1">
        <w:tc>
          <w:tcPr>
            <w:tcW w:w="0" w:type="auto"/>
            <w:hideMark/>
          </w:tcPr>
          <w:p w14:paraId="76389B2A"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Risiken durch Bias und Diskriminierung werden unterschätzt</w:t>
            </w:r>
            <w:r>
              <w:rPr>
                <w:rFonts w:ascii="Arial" w:hAnsi="Arial" w:cs="Arial"/>
                <w:color w:val="000000" w:themeColor="text1"/>
              </w:rPr>
              <w:t>.</w:t>
            </w:r>
          </w:p>
        </w:tc>
        <w:tc>
          <w:tcPr>
            <w:tcW w:w="0" w:type="auto"/>
            <w:hideMark/>
          </w:tcPr>
          <w:p w14:paraId="74A5907E"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Systematische Benachteiligungen werden nicht erkannt, obwohl sie sich aus Daten oder Modelllogik ergeben.</w:t>
            </w:r>
          </w:p>
        </w:tc>
        <w:tc>
          <w:tcPr>
            <w:tcW w:w="0" w:type="auto"/>
            <w:hideMark/>
          </w:tcPr>
          <w:p w14:paraId="0EA523E4"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Prüfen Sie gezielt, ob das System sensible oder indirekt sensible Merkmale berücksichtigt oder benachteiligende Muster reproduzieren kann. Besonders relevant ist dies bei Auswahl-, Ranking- oder Bewertungssystemen. Führen Sie – soweit möglich – Testläufe, Stichproben oder Vergleichsbewertungen durch und legen Sie fest, wie auf auffällige Ergebnisse reagiert wird.</w:t>
            </w:r>
          </w:p>
        </w:tc>
      </w:tr>
      <w:tr w:rsidR="00E35B85" w:rsidRPr="00C87BC9" w14:paraId="67023A0F" w14:textId="77777777" w:rsidTr="00EA5FC1">
        <w:tc>
          <w:tcPr>
            <w:tcW w:w="0" w:type="auto"/>
            <w:hideMark/>
          </w:tcPr>
          <w:p w14:paraId="7B417896"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Fehlende oder unzureichende Risikobewertung</w:t>
            </w:r>
          </w:p>
        </w:tc>
        <w:tc>
          <w:tcPr>
            <w:tcW w:w="0" w:type="auto"/>
            <w:hideMark/>
          </w:tcPr>
          <w:p w14:paraId="19BC096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Risiken werden nur oberflächlich beschrieben oder nicht differenziert bewertet, etwa ohne Betrachtung von Eintrittswahrscheinlichkeit und Schadenshöhe.</w:t>
            </w:r>
          </w:p>
        </w:tc>
        <w:tc>
          <w:tcPr>
            <w:tcW w:w="0" w:type="auto"/>
            <w:hideMark/>
          </w:tcPr>
          <w:p w14:paraId="5DC19872"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Bewerten Sie Risiken strukturiert und nachvollziehbar. Unterscheiden Sie zwischen bloß theoretischen Risiken und solchen, die im konkreten Use Case tatsächlich wahrscheinlich sind. Berücksichtigen Sie auch mittelbare Folgen wie Diskriminierung, Intransparenz, Reputationsschäden oder die faktische Einschränkung von Betroffenenrechten. Die DSFA sollte erkennbar machen, warum ein Risiko als hoch, mittel oder gering eingestuft wurde.</w:t>
            </w:r>
          </w:p>
        </w:tc>
      </w:tr>
      <w:tr w:rsidR="00E35B85" w:rsidRPr="00C87BC9" w14:paraId="3734AB75" w14:textId="77777777" w:rsidTr="00EA5FC1">
        <w:tc>
          <w:tcPr>
            <w:tcW w:w="0" w:type="auto"/>
            <w:hideMark/>
          </w:tcPr>
          <w:p w14:paraId="5B7A39D3"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Maßnahmen bleiben zu abstrakt</w:t>
            </w:r>
            <w:r>
              <w:rPr>
                <w:rFonts w:ascii="Arial" w:hAnsi="Arial" w:cs="Arial"/>
                <w:color w:val="000000" w:themeColor="text1"/>
              </w:rPr>
              <w:t>.</w:t>
            </w:r>
          </w:p>
        </w:tc>
        <w:tc>
          <w:tcPr>
            <w:tcW w:w="0" w:type="auto"/>
            <w:hideMark/>
          </w:tcPr>
          <w:p w14:paraId="7B092E76"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Es werden allgemeine Maßnahmen genannt („Zugriff beschränken“), ohne konkrete Umsetzung.</w:t>
            </w:r>
          </w:p>
        </w:tc>
        <w:tc>
          <w:tcPr>
            <w:tcW w:w="0" w:type="auto"/>
            <w:hideMark/>
          </w:tcPr>
          <w:p w14:paraId="2A486AC4"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Beschreiben Sie Maßnahmen so, dass ihre Umsetzung prüfbar ist. Statt allgemeiner Formulierungen sollten konkrete Verantwortlichkeiten, Fristen, Prüfintervalle und technische oder organisatorische Details festgelegt werden. Beispiel: nicht nur „menschliche Kontrolle“, sondern „</w:t>
            </w:r>
            <w:r>
              <w:rPr>
                <w:rFonts w:ascii="Arial" w:hAnsi="Arial" w:cs="Arial"/>
                <w:color w:val="000000" w:themeColor="text1"/>
              </w:rPr>
              <w:t>J</w:t>
            </w:r>
            <w:r w:rsidRPr="00C87BC9">
              <w:rPr>
                <w:rFonts w:ascii="Arial" w:hAnsi="Arial" w:cs="Arial"/>
                <w:color w:val="000000" w:themeColor="text1"/>
              </w:rPr>
              <w:t>ede automatisierte Risikobewertung wird vor Freigabe durch eine fachlich zuständige Person geprüft und dokumentiert“.</w:t>
            </w:r>
          </w:p>
        </w:tc>
      </w:tr>
      <w:tr w:rsidR="00E35B85" w:rsidRPr="00C87BC9" w14:paraId="75D652CB" w14:textId="77777777" w:rsidTr="00EA5FC1">
        <w:tc>
          <w:tcPr>
            <w:tcW w:w="0" w:type="auto"/>
            <w:hideMark/>
          </w:tcPr>
          <w:p w14:paraId="7AA2819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Fehlende Berücksichtigung von Betroffenenrechten</w:t>
            </w:r>
          </w:p>
        </w:tc>
        <w:tc>
          <w:tcPr>
            <w:tcW w:w="0" w:type="auto"/>
            <w:hideMark/>
          </w:tcPr>
          <w:p w14:paraId="47517E4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Prozesse zur Auskunft, Löschung oder Berichtigung sind nicht vorgesehen oder praktisch nicht umsetzbar.</w:t>
            </w:r>
          </w:p>
        </w:tc>
        <w:tc>
          <w:tcPr>
            <w:tcW w:w="0" w:type="auto"/>
            <w:hideMark/>
          </w:tcPr>
          <w:p w14:paraId="1C6550B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Prüfen Sie frühzeitig, wie Betroffenenrechte im konkreten System umgesetzt werden können. Dazu gehört insbesondere, ob Eingaben, Ausgaben, Entscheidungsgrundlagen und Protokolle so dokumentiert werden, dass Auskunft, Berichtigung, Löschung oder Widerspruch tatsächlich bearbeitet werden können. Wenn technische Grenzen bestehen, müssen diese benannt, bewertet und durch organisatorische Maßnahmen soweit wie möglich abgefangen werden.</w:t>
            </w:r>
          </w:p>
        </w:tc>
      </w:tr>
      <w:tr w:rsidR="00E35B85" w:rsidRPr="00C87BC9" w14:paraId="6B0AA530" w14:textId="77777777" w:rsidTr="00EA5FC1">
        <w:tc>
          <w:tcPr>
            <w:tcW w:w="0" w:type="auto"/>
            <w:hideMark/>
          </w:tcPr>
          <w:p w14:paraId="3A333F8A"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Unzureichende Dokumentation</w:t>
            </w:r>
          </w:p>
        </w:tc>
        <w:tc>
          <w:tcPr>
            <w:tcW w:w="0" w:type="auto"/>
            <w:hideMark/>
          </w:tcPr>
          <w:p w14:paraId="5B196C7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Die DSFA ist unvollständig oder nicht nachvollziehbar dokumentiert. Im Prüfungsfall fehlen Nachweise.</w:t>
            </w:r>
          </w:p>
        </w:tc>
        <w:tc>
          <w:tcPr>
            <w:tcW w:w="0" w:type="auto"/>
            <w:hideMark/>
          </w:tcPr>
          <w:p w14:paraId="7963218A"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Dokumentieren Sie nicht nur das Ergebnis, sondern auch den Weg dorthin: zugrunde gelegte Informationen, Beteiligte, Annahmen, Bewertungen und Abwägungen. Halten Sie fest, warum bestimmte Risiken als relevant oder </w:t>
            </w:r>
            <w:r w:rsidRPr="00C87BC9">
              <w:rPr>
                <w:rFonts w:ascii="Arial" w:hAnsi="Arial" w:cs="Arial"/>
                <w:color w:val="000000" w:themeColor="text1"/>
              </w:rPr>
              <w:lastRenderedPageBreak/>
              <w:t>nicht relevant angesehen wurden und welche Maßnahmen beschlossen wurden. Eine gute DSFA muss für Dritte nachvollziehbar sein, nicht nur für das Projektteam.</w:t>
            </w:r>
          </w:p>
        </w:tc>
      </w:tr>
      <w:tr w:rsidR="00E35B85" w:rsidRPr="00C87BC9" w14:paraId="46C787BF" w14:textId="77777777" w:rsidTr="00EA5FC1">
        <w:tc>
          <w:tcPr>
            <w:tcW w:w="0" w:type="auto"/>
            <w:hideMark/>
          </w:tcPr>
          <w:p w14:paraId="12701E99"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Keine Aktualisierung der DSFA</w:t>
            </w:r>
          </w:p>
        </w:tc>
        <w:tc>
          <w:tcPr>
            <w:tcW w:w="0" w:type="auto"/>
            <w:hideMark/>
          </w:tcPr>
          <w:p w14:paraId="7252864E"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Die DSFA wird einmal erstellt und danach nicht mehr überprüft. Veränderungen im System oder Einsatz bleiben unberücksichtigt.</w:t>
            </w:r>
          </w:p>
        </w:tc>
        <w:tc>
          <w:tcPr>
            <w:tcW w:w="0" w:type="auto"/>
            <w:hideMark/>
          </w:tcPr>
          <w:p w14:paraId="62F75D6A" w14:textId="77777777" w:rsidR="00E35B85" w:rsidRPr="00C87BC9" w:rsidRDefault="00E35B85" w:rsidP="00EA5FC1">
            <w:pPr>
              <w:spacing w:after="160" w:line="278" w:lineRule="auto"/>
              <w:rPr>
                <w:rFonts w:ascii="Arial" w:hAnsi="Arial" w:cs="Arial"/>
                <w:color w:val="000000" w:themeColor="text1"/>
              </w:rPr>
            </w:pPr>
            <w:r w:rsidRPr="00F93B76">
              <w:rPr>
                <w:rFonts w:ascii="Arial" w:hAnsi="Arial" w:cs="Arial"/>
                <w:color w:val="000000" w:themeColor="text1"/>
              </w:rPr>
              <w:t>Legen Sie frühzeitig fest, in welchen Fällen eine Überprüfung der DSFA erfolgen muss – etwa bei Funktionsänderungen, neuen Datenquellen, zusätzlichen Betroffenengruppen, erweitertem Nutzerkreis oder einem Anbieterwechsel.</w:t>
            </w:r>
            <w:r w:rsidRPr="00F93B76">
              <w:rPr>
                <w:rFonts w:ascii="Arial" w:hAnsi="Arial" w:cs="Arial"/>
                <w:color w:val="000000" w:themeColor="text1"/>
              </w:rPr>
              <w:br/>
              <w:t>Gerade bei KI-Systemen ist eine regelmäßige Aktualisierung besonders wichtig, da sich Modellverhalten, Eingabedaten und Nutzungspraxis oft schleichend verändern. Idealerweise ist die DSFA daher in einen festen Prüfprozess eingebettet, in dem auch die zugrunde liegende Verarbeitungstätigkeit regelmäßig überprüft wird. Auf diese Weise lassen sich Anpassungsbedarfe frühzeitig erkennen und systematisch umsetzen.</w:t>
            </w:r>
          </w:p>
        </w:tc>
      </w:tr>
      <w:tr w:rsidR="00E35B85" w:rsidRPr="00C87BC9" w14:paraId="339CC70A" w14:textId="77777777" w:rsidTr="00EA5FC1">
        <w:tc>
          <w:tcPr>
            <w:tcW w:w="0" w:type="auto"/>
            <w:hideMark/>
          </w:tcPr>
          <w:p w14:paraId="6FAF74DD"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Risiken im laufenden Betrieb werden ignoriert</w:t>
            </w:r>
            <w:r>
              <w:rPr>
                <w:rFonts w:ascii="Arial" w:hAnsi="Arial" w:cs="Arial"/>
                <w:color w:val="000000" w:themeColor="text1"/>
              </w:rPr>
              <w:t>.</w:t>
            </w:r>
            <w:r w:rsidRPr="00C87BC9">
              <w:rPr>
                <w:rFonts w:ascii="Arial" w:hAnsi="Arial" w:cs="Arial"/>
                <w:color w:val="000000" w:themeColor="text1"/>
              </w:rPr>
              <w:t xml:space="preserve"> </w:t>
            </w:r>
          </w:p>
        </w:tc>
        <w:tc>
          <w:tcPr>
            <w:tcW w:w="0" w:type="auto"/>
            <w:hideMark/>
          </w:tcPr>
          <w:p w14:paraId="3923314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Modellverhalten verändert sich, etwa durch neue Daten, Feintuning oder geänderte Nutzung, ohne dass dies erkannt oder bewertet wird.</w:t>
            </w:r>
          </w:p>
        </w:tc>
        <w:tc>
          <w:tcPr>
            <w:tcW w:w="0" w:type="auto"/>
            <w:hideMark/>
          </w:tcPr>
          <w:p w14:paraId="162564E8"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Etablieren Sie ein laufendes Monitoring für kritische KI-Anwendungen. Dazu gehören Rückmeldungen aus dem Betrieb, regelmäßige Stichproben, Fehleranalysen und definierte Schwellen, ab </w:t>
            </w:r>
            <w:r w:rsidRPr="00C87BC9">
              <w:rPr>
                <w:rFonts w:ascii="Arial" w:hAnsi="Arial" w:cs="Arial"/>
                <w:color w:val="000000" w:themeColor="text1"/>
              </w:rPr>
              <w:lastRenderedPageBreak/>
              <w:t>denen eine Neubewertung erforderlich ist. Die DSFA sollte nicht mit Go-live enden, sondern als Teil des laufenden Kontrollsystems verstanden werden.</w:t>
            </w:r>
          </w:p>
        </w:tc>
      </w:tr>
      <w:tr w:rsidR="00E35B85" w:rsidRPr="00C87BC9" w14:paraId="40FCB5D6" w14:textId="77777777" w:rsidTr="00EA5FC1">
        <w:tc>
          <w:tcPr>
            <w:tcW w:w="0" w:type="auto"/>
            <w:hideMark/>
          </w:tcPr>
          <w:p w14:paraId="208C8B4C"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Unkontrollierte Nutzung von KI („Shadow AI“)</w:t>
            </w:r>
          </w:p>
        </w:tc>
        <w:tc>
          <w:tcPr>
            <w:tcW w:w="0" w:type="auto"/>
            <w:hideMark/>
          </w:tcPr>
          <w:p w14:paraId="4AC8B315" w14:textId="77777777" w:rsidR="00E35B85" w:rsidRPr="00C87BC9" w:rsidRDefault="00E35B85" w:rsidP="00EA5FC1">
            <w:pPr>
              <w:spacing w:after="160" w:line="278" w:lineRule="auto"/>
              <w:rPr>
                <w:rFonts w:ascii="Arial" w:hAnsi="Arial" w:cs="Arial"/>
                <w:color w:val="000000" w:themeColor="text1"/>
              </w:rPr>
            </w:pPr>
            <w:r w:rsidRPr="00DC74D1">
              <w:rPr>
                <w:rFonts w:ascii="Arial" w:hAnsi="Arial" w:cs="Arial"/>
                <w:color w:val="000000" w:themeColor="text1"/>
              </w:rPr>
              <w:t>Mitarbeitende nutzen eigenständig KI-Anwendungen außerhalb definierter Prozesse, etwa durch Eingabe sensibler Daten in frei verfügbare Dienste. Dabei bestehen nicht nur datenschutzrechtliche Risiken, sondern auch erhebliche Gefahren für Geschäftsgeheimnisse und vertrauliche Unternehmensinformationen.</w:t>
            </w:r>
          </w:p>
        </w:tc>
        <w:tc>
          <w:tcPr>
            <w:tcW w:w="0" w:type="auto"/>
            <w:hideMark/>
          </w:tcPr>
          <w:p w14:paraId="108B099E"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Führen Sie klare Regeln ein, welche KI-Tools genutzt werden dürfen und welche nicht. Ergänzen Sie diese Regeln durch Schulungen, Freigabeprozesse und technische Schutzmaßnahmen, etwa Sperrlisten, Browser-Regeln oder sichere interne Alternativen. Wo keine praktikablen Freigaben existieren, entstehen erfahrungsgemäß Ausweichbewegungen.</w:t>
            </w:r>
          </w:p>
        </w:tc>
      </w:tr>
      <w:tr w:rsidR="00E35B85" w:rsidRPr="00C87BC9" w14:paraId="05280C2C" w14:textId="77777777" w:rsidTr="00EA5FC1">
        <w:tc>
          <w:tcPr>
            <w:tcW w:w="0" w:type="auto"/>
            <w:hideMark/>
          </w:tcPr>
          <w:p w14:paraId="39D89880"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Sensible Daten werden unkontrolliert in KI-Systeme eingegeben</w:t>
            </w:r>
            <w:r>
              <w:rPr>
                <w:rFonts w:ascii="Arial" w:hAnsi="Arial" w:cs="Arial"/>
                <w:color w:val="000000" w:themeColor="text1"/>
              </w:rPr>
              <w:t>.</w:t>
            </w:r>
          </w:p>
        </w:tc>
        <w:tc>
          <w:tcPr>
            <w:tcW w:w="0" w:type="auto"/>
            <w:hideMark/>
          </w:tcPr>
          <w:p w14:paraId="455F4476"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Vertrauliche oder personenbezogene Daten gelangen über Prompts in externe Systeme und werden dort weiterverarbeitet.</w:t>
            </w:r>
          </w:p>
        </w:tc>
        <w:tc>
          <w:tcPr>
            <w:tcW w:w="0" w:type="auto"/>
            <w:hideMark/>
          </w:tcPr>
          <w:p w14:paraId="72D23429"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Erarbeiten Sie klare Vorgaben, welche Daten niemals in generative KI-Systeme eingegeben werden dürfen und welche nur unter bestimmten Bedingungen zulässig sind. Unterstützen Sie diese Vorgaben durch Schulungen, Beispielkataloge und – wenn möglich – technische Filter oder Freigabemechanismen. Gerade freie Texteingaben sind ein typisches Einfallstor für Datenschutzverstöße.</w:t>
            </w:r>
          </w:p>
        </w:tc>
      </w:tr>
      <w:tr w:rsidR="00E35B85" w:rsidRPr="00C87BC9" w14:paraId="091508FB" w14:textId="77777777" w:rsidTr="00EA5FC1">
        <w:tc>
          <w:tcPr>
            <w:tcW w:w="0" w:type="auto"/>
            <w:hideMark/>
          </w:tcPr>
          <w:p w14:paraId="6C67B073"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Zweck und Rollenverteilung sind intern unklar</w:t>
            </w:r>
            <w:r>
              <w:rPr>
                <w:rFonts w:ascii="Arial" w:hAnsi="Arial" w:cs="Arial"/>
                <w:color w:val="000000" w:themeColor="text1"/>
              </w:rPr>
              <w:t>.</w:t>
            </w:r>
          </w:p>
        </w:tc>
        <w:tc>
          <w:tcPr>
            <w:tcW w:w="0" w:type="auto"/>
            <w:hideMark/>
          </w:tcPr>
          <w:p w14:paraId="60E91C05"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Niemand kann sauber erklären, wofür das System eingesetzt wird, wer entscheidet und wer die Verantwortung trägt. Dadurch werden Bewertungen </w:t>
            </w:r>
            <w:r w:rsidRPr="00C87BC9">
              <w:rPr>
                <w:rFonts w:ascii="Arial" w:hAnsi="Arial" w:cs="Arial"/>
                <w:color w:val="000000" w:themeColor="text1"/>
              </w:rPr>
              <w:lastRenderedPageBreak/>
              <w:t>widersprüchlich und Maßnahmen nicht umgesetzt.</w:t>
            </w:r>
          </w:p>
        </w:tc>
        <w:tc>
          <w:tcPr>
            <w:tcW w:w="0" w:type="auto"/>
            <w:hideMark/>
          </w:tcPr>
          <w:p w14:paraId="69E4C98D"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 xml:space="preserve">Halten Sie Zweck, Verantwortlichkeiten und Freigabebefugnisse frühzeitig schriftlich fest. Es sollte klar sein, wer fachlich für den Einsatz verantwortlich ist, wer </w:t>
            </w:r>
            <w:r w:rsidRPr="00C87BC9">
              <w:rPr>
                <w:rFonts w:ascii="Arial" w:hAnsi="Arial" w:cs="Arial"/>
                <w:color w:val="000000" w:themeColor="text1"/>
              </w:rPr>
              <w:lastRenderedPageBreak/>
              <w:t xml:space="preserve">technische Änderungen steuert und wer Entscheidungen über Freigabe, Anpassung oder Abschaltung trifft. Eine unklare </w:t>
            </w:r>
            <w:proofErr w:type="spellStart"/>
            <w:r w:rsidRPr="00C87BC9">
              <w:rPr>
                <w:rFonts w:ascii="Arial" w:hAnsi="Arial" w:cs="Arial"/>
                <w:color w:val="000000" w:themeColor="text1"/>
              </w:rPr>
              <w:t>Governance</w:t>
            </w:r>
            <w:proofErr w:type="spellEnd"/>
            <w:r w:rsidRPr="00C87BC9">
              <w:rPr>
                <w:rFonts w:ascii="Arial" w:hAnsi="Arial" w:cs="Arial"/>
                <w:color w:val="000000" w:themeColor="text1"/>
              </w:rPr>
              <w:t xml:space="preserve"> ist oft der eigentliche Grund für schlechte DSFAs.</w:t>
            </w:r>
          </w:p>
        </w:tc>
      </w:tr>
      <w:tr w:rsidR="00E35B85" w:rsidRPr="00C87BC9" w14:paraId="1C43E8AC" w14:textId="77777777" w:rsidTr="00EA5FC1">
        <w:tc>
          <w:tcPr>
            <w:tcW w:w="0" w:type="auto"/>
            <w:hideMark/>
          </w:tcPr>
          <w:p w14:paraId="07064819"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Abgrenzung zwischen Testbetrieb und Produktivbetrieb fehlt</w:t>
            </w:r>
            <w:r>
              <w:rPr>
                <w:rFonts w:ascii="Arial" w:hAnsi="Arial" w:cs="Arial"/>
                <w:color w:val="000000" w:themeColor="text1"/>
              </w:rPr>
              <w:t>.</w:t>
            </w:r>
          </w:p>
        </w:tc>
        <w:tc>
          <w:tcPr>
            <w:tcW w:w="0" w:type="auto"/>
            <w:hideMark/>
          </w:tcPr>
          <w:p w14:paraId="1708A26E"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Systeme werden zunächst „nur testweise“ eingesetzt, verarbeiten aber bereits echte personenbezogene Daten. Risiken werden deshalb zu spät ernst genommen.</w:t>
            </w:r>
          </w:p>
        </w:tc>
        <w:tc>
          <w:tcPr>
            <w:tcW w:w="0" w:type="auto"/>
            <w:hideMark/>
          </w:tcPr>
          <w:p w14:paraId="414C040B" w14:textId="77777777" w:rsidR="00E35B85" w:rsidRPr="00C87BC9" w:rsidRDefault="00E35B85" w:rsidP="00EA5FC1">
            <w:pPr>
              <w:spacing w:after="160" w:line="278" w:lineRule="auto"/>
              <w:rPr>
                <w:rFonts w:ascii="Arial" w:hAnsi="Arial" w:cs="Arial"/>
                <w:color w:val="000000" w:themeColor="text1"/>
              </w:rPr>
            </w:pPr>
            <w:r w:rsidRPr="00DC74D1">
              <w:rPr>
                <w:rFonts w:ascii="Arial" w:hAnsi="Arial" w:cs="Arial"/>
                <w:color w:val="000000" w:themeColor="text1"/>
              </w:rPr>
              <w:t>Definieren Sie klare Regeln für Pilot-, Test- und Produktivbetrieb. Auch Testumgebungen mit echten Daten können DSFA-relevant sein. Prüfen Sie vorab, welche Daten genutzt werden, ob Pseudonymisierung möglich ist und welche Schutzmaßnahmen gelten.</w:t>
            </w:r>
            <w:r w:rsidRPr="00DC74D1">
              <w:rPr>
                <w:rFonts w:ascii="Arial" w:hAnsi="Arial" w:cs="Arial"/>
                <w:color w:val="000000" w:themeColor="text1"/>
              </w:rPr>
              <w:br/>
              <w:t>Gerade in Testphasen fehlt häufig die nötige Sensibilität. Ergänzen Sie daher gezielte Sensibilisierungsmaßnahmen – auch im Pilotbetrieb.</w:t>
            </w:r>
          </w:p>
        </w:tc>
      </w:tr>
      <w:tr w:rsidR="00E35B85" w:rsidRPr="00C87BC9" w14:paraId="250C206E" w14:textId="77777777" w:rsidTr="00EA5FC1">
        <w:tc>
          <w:tcPr>
            <w:tcW w:w="0" w:type="auto"/>
            <w:hideMark/>
          </w:tcPr>
          <w:p w14:paraId="7441DDAE"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Ergebnisse und Restrisiken werden intern nicht kommuniziert</w:t>
            </w:r>
            <w:r>
              <w:rPr>
                <w:rFonts w:ascii="Arial" w:hAnsi="Arial" w:cs="Arial"/>
                <w:color w:val="000000" w:themeColor="text1"/>
              </w:rPr>
              <w:t>.</w:t>
            </w:r>
          </w:p>
        </w:tc>
        <w:tc>
          <w:tcPr>
            <w:tcW w:w="0" w:type="auto"/>
            <w:hideMark/>
          </w:tcPr>
          <w:p w14:paraId="1DE25C3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Fachbereiche nutzen das System weiter, ohne die festgestellten Risiken oder Grenzen zu kennen. Maßnahmen werden dadurch umgangen oder ignoriert.</w:t>
            </w:r>
          </w:p>
        </w:tc>
        <w:tc>
          <w:tcPr>
            <w:tcW w:w="0" w:type="auto"/>
            <w:hideMark/>
          </w:tcPr>
          <w:p w14:paraId="0FF78092"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Kommunizieren Sie die Ergebnisse der DSFA zielgruppengerecht. Fachabteilungen brauchen klare Vorgaben dazu, was zulässig ist, wo Grenzen liegen und welche Prüfschritte einzuhalten sind. Bei kritischen Restrisiken sollten </w:t>
            </w:r>
            <w:r>
              <w:rPr>
                <w:rFonts w:ascii="Arial" w:hAnsi="Arial" w:cs="Arial"/>
                <w:color w:val="000000" w:themeColor="text1"/>
              </w:rPr>
              <w:t xml:space="preserve">Empfehlungen </w:t>
            </w:r>
            <w:r w:rsidRPr="00C87BC9">
              <w:rPr>
                <w:rFonts w:ascii="Arial" w:hAnsi="Arial" w:cs="Arial"/>
                <w:color w:val="000000" w:themeColor="text1"/>
              </w:rPr>
              <w:t>ausdrücklich dokumentiert und mit der Unternehmensleitung abgestimmt werden.</w:t>
            </w:r>
          </w:p>
        </w:tc>
      </w:tr>
      <w:tr w:rsidR="00E35B85" w:rsidRPr="00C87BC9" w14:paraId="0BD7EE23" w14:textId="77777777" w:rsidTr="00EA5FC1">
        <w:tc>
          <w:tcPr>
            <w:tcW w:w="0" w:type="auto"/>
            <w:hideMark/>
          </w:tcPr>
          <w:p w14:paraId="5D44E910"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Keine klaren Kriterien für Abbruch oder Nachsteuerung</w:t>
            </w:r>
          </w:p>
        </w:tc>
        <w:tc>
          <w:tcPr>
            <w:tcW w:w="0" w:type="auto"/>
            <w:hideMark/>
          </w:tcPr>
          <w:p w14:paraId="37ADE121"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t xml:space="preserve">Auch bei auffälligen Fehlleistungen läuft das System unverändert weiter, weil niemand weiß, wann </w:t>
            </w:r>
            <w:r w:rsidRPr="00C87BC9">
              <w:rPr>
                <w:rFonts w:ascii="Arial" w:hAnsi="Arial" w:cs="Arial"/>
                <w:color w:val="000000" w:themeColor="text1"/>
              </w:rPr>
              <w:lastRenderedPageBreak/>
              <w:t>eine Nutzung gestoppt oder angepasst werden muss.</w:t>
            </w:r>
          </w:p>
        </w:tc>
        <w:tc>
          <w:tcPr>
            <w:tcW w:w="0" w:type="auto"/>
            <w:hideMark/>
          </w:tcPr>
          <w:p w14:paraId="24A2926C" w14:textId="77777777" w:rsidR="00E35B85" w:rsidRPr="00C87BC9" w:rsidRDefault="00E35B85" w:rsidP="00EA5FC1">
            <w:pPr>
              <w:spacing w:after="160" w:line="278" w:lineRule="auto"/>
              <w:rPr>
                <w:rFonts w:ascii="Arial" w:hAnsi="Arial" w:cs="Arial"/>
                <w:color w:val="000000" w:themeColor="text1"/>
              </w:rPr>
            </w:pPr>
            <w:r w:rsidRPr="00C87BC9">
              <w:rPr>
                <w:rFonts w:ascii="Arial" w:hAnsi="Arial" w:cs="Arial"/>
                <w:color w:val="000000" w:themeColor="text1"/>
              </w:rPr>
              <w:lastRenderedPageBreak/>
              <w:t xml:space="preserve">Legen Sie vorab fest, welche Vorfälle oder Erkenntnisse eine Neubewertung, Nachschärfung oder Aussetzung des Systems </w:t>
            </w:r>
            <w:r w:rsidRPr="00C87BC9">
              <w:rPr>
                <w:rFonts w:ascii="Arial" w:hAnsi="Arial" w:cs="Arial"/>
                <w:color w:val="000000" w:themeColor="text1"/>
              </w:rPr>
              <w:lastRenderedPageBreak/>
              <w:t>auslösen. Dazu können gehäufte Fehlentscheidungen, Beschwerden, auffällige Diskriminierungsmuster, Sicherheitsvorfälle oder wesentliche Änderungen beim Anbieter gehören. Ohne solche Trigger bleibt das Monitoring oft folgenlos.</w:t>
            </w:r>
          </w:p>
        </w:tc>
      </w:tr>
      <w:tr w:rsidR="00E35B85" w:rsidRPr="00C87BC9" w14:paraId="2B89C54C" w14:textId="77777777" w:rsidTr="00EA5FC1">
        <w:tc>
          <w:tcPr>
            <w:tcW w:w="0" w:type="auto"/>
          </w:tcPr>
          <w:p w14:paraId="75D77154" w14:textId="77777777" w:rsidR="00E35B85" w:rsidRPr="00C87BC9" w:rsidRDefault="00E35B85" w:rsidP="00EA5FC1">
            <w:pPr>
              <w:rPr>
                <w:rFonts w:ascii="Arial" w:hAnsi="Arial" w:cs="Arial"/>
                <w:color w:val="000000" w:themeColor="text1"/>
              </w:rPr>
            </w:pPr>
            <w:r w:rsidRPr="00C87BC9">
              <w:rPr>
                <w:rFonts w:ascii="Arial" w:hAnsi="Arial" w:cs="Arial"/>
                <w:color w:val="000000" w:themeColor="text1"/>
              </w:rPr>
              <w:lastRenderedPageBreak/>
              <w:t>Interne Richtlinien bestehen nur auf dem Papier</w:t>
            </w:r>
            <w:r>
              <w:rPr>
                <w:rFonts w:ascii="Arial" w:hAnsi="Arial" w:cs="Arial"/>
                <w:color w:val="000000" w:themeColor="text1"/>
              </w:rPr>
              <w:t>.</w:t>
            </w:r>
          </w:p>
        </w:tc>
        <w:tc>
          <w:tcPr>
            <w:tcW w:w="0" w:type="auto"/>
          </w:tcPr>
          <w:p w14:paraId="6523A1B1" w14:textId="77777777" w:rsidR="00E35B85" w:rsidRPr="00C87BC9" w:rsidRDefault="00E35B85" w:rsidP="00EA5FC1">
            <w:pPr>
              <w:rPr>
                <w:rFonts w:ascii="Arial" w:hAnsi="Arial" w:cs="Arial"/>
                <w:color w:val="000000" w:themeColor="text1"/>
              </w:rPr>
            </w:pPr>
            <w:r w:rsidRPr="00C87BC9">
              <w:rPr>
                <w:rFonts w:ascii="Arial" w:hAnsi="Arial" w:cs="Arial"/>
                <w:color w:val="000000" w:themeColor="text1"/>
              </w:rPr>
              <w:t>Es gibt zwar Vorgaben zur KI-Nutzung, diese sind den Mitarbeitenden aber nicht bekannt oder werden im Alltag nicht umgesetzt.</w:t>
            </w:r>
          </w:p>
        </w:tc>
        <w:tc>
          <w:tcPr>
            <w:tcW w:w="0" w:type="auto"/>
          </w:tcPr>
          <w:p w14:paraId="22FEFF02" w14:textId="77777777" w:rsidR="00E35B85" w:rsidRPr="00C87BC9" w:rsidRDefault="00E35B85" w:rsidP="00EA5FC1">
            <w:pPr>
              <w:rPr>
                <w:rFonts w:ascii="Arial" w:hAnsi="Arial" w:cs="Arial"/>
                <w:color w:val="000000" w:themeColor="text1"/>
              </w:rPr>
            </w:pPr>
            <w:r w:rsidRPr="00C87BC9">
              <w:rPr>
                <w:rFonts w:ascii="Arial" w:hAnsi="Arial" w:cs="Arial"/>
                <w:color w:val="000000" w:themeColor="text1"/>
              </w:rPr>
              <w:t xml:space="preserve">Verbinden Sie Richtlinien mit Schulungen, Praxisbeispielen und klaren Verantwortlichkeiten. Prüfen Sie stichprobenartig, ob die Vorgaben tatsächlich eingehalten werden. Gute </w:t>
            </w:r>
            <w:proofErr w:type="spellStart"/>
            <w:r w:rsidRPr="00C87BC9">
              <w:rPr>
                <w:rFonts w:ascii="Arial" w:hAnsi="Arial" w:cs="Arial"/>
                <w:color w:val="000000" w:themeColor="text1"/>
              </w:rPr>
              <w:t>Governance</w:t>
            </w:r>
            <w:proofErr w:type="spellEnd"/>
            <w:r w:rsidRPr="00C87BC9">
              <w:rPr>
                <w:rFonts w:ascii="Arial" w:hAnsi="Arial" w:cs="Arial"/>
                <w:color w:val="000000" w:themeColor="text1"/>
              </w:rPr>
              <w:t xml:space="preserve"> besteht nicht nur aus Papier, sondern aus gelebten Prozessen.</w:t>
            </w:r>
          </w:p>
        </w:tc>
      </w:tr>
      <w:tr w:rsidR="00E35B85" w:rsidRPr="00C87BC9" w14:paraId="34BB410C" w14:textId="77777777" w:rsidTr="00EA5FC1">
        <w:tc>
          <w:tcPr>
            <w:tcW w:w="0" w:type="auto"/>
            <w:hideMark/>
          </w:tcPr>
          <w:p w14:paraId="5F62B8B8" w14:textId="77777777" w:rsidR="00E35B85" w:rsidRPr="00313C0E" w:rsidRDefault="00E35B85" w:rsidP="00EA5FC1">
            <w:pPr>
              <w:spacing w:after="160" w:line="278" w:lineRule="auto"/>
              <w:rPr>
                <w:rFonts w:ascii="Arial" w:hAnsi="Arial" w:cs="Arial"/>
                <w:b/>
                <w:bCs/>
                <w:color w:val="000000" w:themeColor="text1"/>
              </w:rPr>
            </w:pPr>
            <w:r w:rsidRPr="00313C0E">
              <w:rPr>
                <w:rStyle w:val="Fett"/>
                <w:rFonts w:ascii="Arial" w:hAnsi="Arial" w:cs="Arial"/>
              </w:rPr>
              <w:t>Unklare Nutzung von Daten für KI-Training</w:t>
            </w:r>
            <w:r w:rsidRPr="00313C0E">
              <w:rPr>
                <w:rFonts w:ascii="Arial" w:hAnsi="Arial" w:cs="Arial"/>
                <w:b/>
                <w:bCs/>
              </w:rPr>
              <w:br/>
            </w:r>
          </w:p>
        </w:tc>
        <w:tc>
          <w:tcPr>
            <w:tcW w:w="0" w:type="auto"/>
            <w:hideMark/>
          </w:tcPr>
          <w:p w14:paraId="695548F4" w14:textId="77777777" w:rsidR="00E35B85" w:rsidRPr="00C87BC9" w:rsidRDefault="00E35B85" w:rsidP="00EA5FC1">
            <w:pPr>
              <w:spacing w:after="160" w:line="278" w:lineRule="auto"/>
              <w:rPr>
                <w:rFonts w:ascii="Arial" w:hAnsi="Arial" w:cs="Arial"/>
                <w:color w:val="000000" w:themeColor="text1"/>
              </w:rPr>
            </w:pPr>
            <w:r w:rsidRPr="00552067">
              <w:rPr>
                <w:rFonts w:ascii="Arial" w:hAnsi="Arial" w:cs="Arial"/>
              </w:rPr>
              <w:t>Es bleibt offen, ob eingegebene Daten für Trainingszwecke verwendet oder gespeichert werden.</w:t>
            </w:r>
          </w:p>
        </w:tc>
        <w:tc>
          <w:tcPr>
            <w:tcW w:w="0" w:type="auto"/>
            <w:hideMark/>
          </w:tcPr>
          <w:p w14:paraId="07DC97E1" w14:textId="77777777" w:rsidR="00E35B85" w:rsidRPr="00C87BC9" w:rsidRDefault="00E35B85" w:rsidP="00EA5FC1">
            <w:pPr>
              <w:spacing w:after="160" w:line="278" w:lineRule="auto"/>
              <w:rPr>
                <w:rFonts w:ascii="Arial" w:hAnsi="Arial" w:cs="Arial"/>
                <w:color w:val="000000" w:themeColor="text1"/>
              </w:rPr>
            </w:pPr>
            <w:r w:rsidRPr="00552067">
              <w:rPr>
                <w:rFonts w:ascii="Arial" w:hAnsi="Arial" w:cs="Arial"/>
                <w:color w:val="000000" w:themeColor="text1"/>
              </w:rPr>
              <w:t>Verlangen Sie klare Angaben dazu, ob und wie Daten in Trainingsprozesse einfließen. Schließen Sie – soweit möglich – eine Nutzung für Trainingszwecke vertraglich aus oder beschränken Sie diese. Dokumentieren Sie verbleibende Risiken.</w:t>
            </w:r>
          </w:p>
        </w:tc>
      </w:tr>
      <w:tr w:rsidR="00E35B85" w:rsidRPr="00C87BC9" w14:paraId="477EB624" w14:textId="77777777" w:rsidTr="00EA5FC1">
        <w:tc>
          <w:tcPr>
            <w:tcW w:w="0" w:type="auto"/>
          </w:tcPr>
          <w:p w14:paraId="0EBB2694" w14:textId="77777777" w:rsidR="00E35B85" w:rsidRPr="00552067" w:rsidRDefault="00E35B85" w:rsidP="00EA5FC1">
            <w:pPr>
              <w:rPr>
                <w:rFonts w:ascii="Arial" w:hAnsi="Arial" w:cs="Arial"/>
                <w:b/>
                <w:bCs/>
              </w:rPr>
            </w:pPr>
            <w:r w:rsidRPr="00625875">
              <w:rPr>
                <w:rFonts w:ascii="Arial" w:hAnsi="Arial" w:cs="Arial"/>
                <w:color w:val="000000" w:themeColor="text1"/>
              </w:rPr>
              <w:t>Fehlende Transparenz bei Verarbeitungsorten und Drittlandtransfe</w:t>
            </w:r>
            <w:r>
              <w:rPr>
                <w:rFonts w:ascii="Arial" w:hAnsi="Arial" w:cs="Arial"/>
                <w:color w:val="000000" w:themeColor="text1"/>
              </w:rPr>
              <w:t>rs</w:t>
            </w:r>
          </w:p>
        </w:tc>
        <w:tc>
          <w:tcPr>
            <w:tcW w:w="0" w:type="auto"/>
          </w:tcPr>
          <w:p w14:paraId="3CC3BE9A" w14:textId="77777777" w:rsidR="00E35B85" w:rsidRPr="00552067" w:rsidRDefault="00E35B85" w:rsidP="00EA5FC1">
            <w:pPr>
              <w:rPr>
                <w:rFonts w:ascii="Arial" w:hAnsi="Arial" w:cs="Arial"/>
              </w:rPr>
            </w:pPr>
            <w:r w:rsidRPr="00625875">
              <w:rPr>
                <w:rFonts w:ascii="Arial" w:hAnsi="Arial" w:cs="Arial"/>
                <w:color w:val="000000" w:themeColor="text1"/>
              </w:rPr>
              <w:t>Es bleibt unklar, an welchen Standorten personenbezogene Daten verarbeitet werden und ob dabei Übermittlungen in Drittländer erfolgen.</w:t>
            </w:r>
          </w:p>
        </w:tc>
        <w:tc>
          <w:tcPr>
            <w:tcW w:w="0" w:type="auto"/>
          </w:tcPr>
          <w:p w14:paraId="3C73F4AF" w14:textId="77777777" w:rsidR="00E35B85" w:rsidRPr="00552067" w:rsidRDefault="00E35B85" w:rsidP="00EA5FC1">
            <w:pPr>
              <w:rPr>
                <w:rFonts w:ascii="Arial" w:hAnsi="Arial" w:cs="Arial"/>
                <w:color w:val="000000" w:themeColor="text1"/>
              </w:rPr>
            </w:pPr>
            <w:r w:rsidRPr="00625875">
              <w:rPr>
                <w:rFonts w:ascii="Arial" w:hAnsi="Arial" w:cs="Arial"/>
                <w:color w:val="000000" w:themeColor="text1"/>
              </w:rPr>
              <w:t>Klären Sie den Sitz des Anbieters sowie alle relevanten Verarbeitungsorte. Prüfen Sie, ob Daten in Drittländer übermittelt werden und welche Garantien bestehen (z. B. Standardvertragsklauseln, zusätzliche Maßnahmen). Berücksichtigen Sie dies ausdrücklich in der DSFA.</w:t>
            </w:r>
          </w:p>
        </w:tc>
      </w:tr>
      <w:tr w:rsidR="00E35B85" w:rsidRPr="00C87BC9" w14:paraId="1C2564F7" w14:textId="77777777" w:rsidTr="00EA5FC1">
        <w:tc>
          <w:tcPr>
            <w:tcW w:w="0" w:type="auto"/>
          </w:tcPr>
          <w:p w14:paraId="631E5160"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t>Unklarer Verbleib von Daten auf eigenen Systemen</w:t>
            </w:r>
            <w:r w:rsidRPr="00625875">
              <w:rPr>
                <w:rFonts w:ascii="Arial" w:hAnsi="Arial" w:cs="Arial"/>
                <w:color w:val="000000" w:themeColor="text1"/>
              </w:rPr>
              <w:br/>
            </w:r>
          </w:p>
        </w:tc>
        <w:tc>
          <w:tcPr>
            <w:tcW w:w="0" w:type="auto"/>
          </w:tcPr>
          <w:p w14:paraId="1D24C8F6"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t>Es ist nicht nachvollziehbar, ob und welche Daten intern gespeichert, weiterverarbeitet oder mit anderen Systemen verknüpft werden.</w:t>
            </w:r>
          </w:p>
        </w:tc>
        <w:tc>
          <w:tcPr>
            <w:tcW w:w="0" w:type="auto"/>
          </w:tcPr>
          <w:p w14:paraId="273E4D3A"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t xml:space="preserve">Prüfen Sie auch die internen Datenflüsse: Werden Eingaben oder Ergebnisse gespeichert? Erfolgt eine Weiterverarbeitung in anderen Systemen? </w:t>
            </w:r>
            <w:r w:rsidRPr="00625875">
              <w:rPr>
                <w:rFonts w:ascii="Arial" w:hAnsi="Arial" w:cs="Arial"/>
                <w:color w:val="000000" w:themeColor="text1"/>
              </w:rPr>
              <w:lastRenderedPageBreak/>
              <w:t>Definieren Sie klare Speicher-, Lösch- und Zugriffskonzepte für interne Datenbestände.</w:t>
            </w:r>
          </w:p>
        </w:tc>
      </w:tr>
      <w:tr w:rsidR="00E35B85" w:rsidRPr="00C87BC9" w14:paraId="7D5A3F59" w14:textId="77777777" w:rsidTr="00EA5FC1">
        <w:tc>
          <w:tcPr>
            <w:tcW w:w="0" w:type="auto"/>
          </w:tcPr>
          <w:p w14:paraId="619F28BA"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lastRenderedPageBreak/>
              <w:t>Ungeeignete oder unsichere Systemeinstellungen</w:t>
            </w:r>
            <w:r w:rsidRPr="00625875">
              <w:rPr>
                <w:rFonts w:ascii="Arial" w:hAnsi="Arial" w:cs="Arial"/>
                <w:color w:val="000000" w:themeColor="text1"/>
              </w:rPr>
              <w:br/>
            </w:r>
          </w:p>
          <w:p w14:paraId="31EA4EF9" w14:textId="77777777" w:rsidR="00E35B85" w:rsidRPr="00625875" w:rsidRDefault="00E35B85" w:rsidP="00EA5FC1">
            <w:pPr>
              <w:rPr>
                <w:rFonts w:ascii="Arial" w:hAnsi="Arial" w:cs="Arial"/>
                <w:color w:val="000000" w:themeColor="text1"/>
              </w:rPr>
            </w:pPr>
          </w:p>
        </w:tc>
        <w:tc>
          <w:tcPr>
            <w:tcW w:w="0" w:type="auto"/>
          </w:tcPr>
          <w:p w14:paraId="04E4736A"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t>Standardkonfigurationen werden übernommen, ohne datenschutzrelevante Einstellungen anzupassen (z. B. Speicherung von Eingaben, Trainingsnutzung).</w:t>
            </w:r>
          </w:p>
        </w:tc>
        <w:tc>
          <w:tcPr>
            <w:tcW w:w="0" w:type="auto"/>
          </w:tcPr>
          <w:p w14:paraId="4B2C4B86" w14:textId="77777777" w:rsidR="00E35B85" w:rsidRPr="00625875" w:rsidRDefault="00E35B85" w:rsidP="00EA5FC1">
            <w:pPr>
              <w:rPr>
                <w:rFonts w:ascii="Arial" w:hAnsi="Arial" w:cs="Arial"/>
                <w:color w:val="000000" w:themeColor="text1"/>
              </w:rPr>
            </w:pPr>
            <w:r w:rsidRPr="00625875">
              <w:rPr>
                <w:rFonts w:ascii="Arial" w:hAnsi="Arial" w:cs="Arial"/>
                <w:color w:val="000000" w:themeColor="text1"/>
              </w:rPr>
              <w:t>Prüfen und konfigurieren Sie KI-Systeme aktiv. Deaktivieren Sie – soweit möglich – Trainingsfunktionen, Protokollierungen oder Datenspeicherungen, die für den konkreten Zweck nicht erforderlich sind. Halten Sie die gewählten Einstellungen nachvollziehbar fest.</w:t>
            </w:r>
          </w:p>
        </w:tc>
      </w:tr>
    </w:tbl>
    <w:p w14:paraId="0A3D3A36" w14:textId="77777777" w:rsidR="00E35B85" w:rsidRDefault="00E35B85" w:rsidP="00E35B85"/>
    <w:p w14:paraId="31D50F89" w14:textId="4F0ACD49" w:rsidR="003D43CE" w:rsidRPr="00E35B85" w:rsidRDefault="003D43CE" w:rsidP="00E35B85"/>
    <w:sectPr w:rsidR="003D43CE" w:rsidRPr="00E35B8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8176" w14:textId="77777777" w:rsidR="00EC2F77" w:rsidRDefault="00EC2F77" w:rsidP="00CC2216">
      <w:r>
        <w:separator/>
      </w:r>
    </w:p>
  </w:endnote>
  <w:endnote w:type="continuationSeparator" w:id="0">
    <w:p w14:paraId="700B3793" w14:textId="77777777" w:rsidR="00EC2F77" w:rsidRDefault="00EC2F77"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F37D" w14:textId="77777777" w:rsidR="00EC2F77" w:rsidRDefault="00EC2F77" w:rsidP="00CC2216">
      <w:r>
        <w:separator/>
      </w:r>
    </w:p>
  </w:footnote>
  <w:footnote w:type="continuationSeparator" w:id="0">
    <w:p w14:paraId="3DD66CA9" w14:textId="77777777" w:rsidR="00EC2F77" w:rsidRDefault="00EC2F77"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CC5D77"/>
    <w:multiLevelType w:val="hybridMultilevel"/>
    <w:tmpl w:val="CF44DE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E63082"/>
    <w:multiLevelType w:val="hybridMultilevel"/>
    <w:tmpl w:val="466AA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963F4"/>
    <w:multiLevelType w:val="hybridMultilevel"/>
    <w:tmpl w:val="CB8A13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604D0A"/>
    <w:multiLevelType w:val="hybridMultilevel"/>
    <w:tmpl w:val="9D428A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3F58E2"/>
    <w:multiLevelType w:val="hybridMultilevel"/>
    <w:tmpl w:val="CF36E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7319A8"/>
    <w:multiLevelType w:val="hybridMultilevel"/>
    <w:tmpl w:val="E5C2DA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8734BF"/>
    <w:multiLevelType w:val="hybridMultilevel"/>
    <w:tmpl w:val="5D48F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6C42347"/>
    <w:multiLevelType w:val="hybridMultilevel"/>
    <w:tmpl w:val="23F85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4520F3"/>
    <w:multiLevelType w:val="hybridMultilevel"/>
    <w:tmpl w:val="78F4C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BF11126"/>
    <w:multiLevelType w:val="hybridMultilevel"/>
    <w:tmpl w:val="656A3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132A74"/>
    <w:multiLevelType w:val="hybridMultilevel"/>
    <w:tmpl w:val="A9A48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3A3926"/>
    <w:multiLevelType w:val="hybridMultilevel"/>
    <w:tmpl w:val="146CB6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0C1D47"/>
    <w:multiLevelType w:val="hybridMultilevel"/>
    <w:tmpl w:val="D1EC01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8129E7"/>
    <w:multiLevelType w:val="hybridMultilevel"/>
    <w:tmpl w:val="8BA82E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EE4981"/>
    <w:multiLevelType w:val="hybridMultilevel"/>
    <w:tmpl w:val="EE7241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0"/>
  </w:num>
  <w:num w:numId="4">
    <w:abstractNumId w:val="12"/>
  </w:num>
  <w:num w:numId="5">
    <w:abstractNumId w:val="9"/>
  </w:num>
  <w:num w:numId="6">
    <w:abstractNumId w:val="7"/>
  </w:num>
  <w:num w:numId="7">
    <w:abstractNumId w:val="15"/>
  </w:num>
  <w:num w:numId="8">
    <w:abstractNumId w:val="14"/>
  </w:num>
  <w:num w:numId="9">
    <w:abstractNumId w:val="8"/>
  </w:num>
  <w:num w:numId="10">
    <w:abstractNumId w:val="3"/>
  </w:num>
  <w:num w:numId="11">
    <w:abstractNumId w:val="11"/>
  </w:num>
  <w:num w:numId="12">
    <w:abstractNumId w:val="6"/>
  </w:num>
  <w:num w:numId="13">
    <w:abstractNumId w:val="4"/>
  </w:num>
  <w:num w:numId="14">
    <w:abstractNumId w:val="13"/>
  </w:num>
  <w:num w:numId="15">
    <w:abstractNumId w:val="1"/>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1F7CD8"/>
    <w:rsid w:val="002212CF"/>
    <w:rsid w:val="002356B5"/>
    <w:rsid w:val="00291DAF"/>
    <w:rsid w:val="002C3431"/>
    <w:rsid w:val="002D75F0"/>
    <w:rsid w:val="00300DC4"/>
    <w:rsid w:val="00350228"/>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00FE2"/>
    <w:rsid w:val="005105F0"/>
    <w:rsid w:val="00510962"/>
    <w:rsid w:val="00525077"/>
    <w:rsid w:val="005713BA"/>
    <w:rsid w:val="005717AA"/>
    <w:rsid w:val="005A6A71"/>
    <w:rsid w:val="005C5465"/>
    <w:rsid w:val="005F33E7"/>
    <w:rsid w:val="006251E4"/>
    <w:rsid w:val="00651E4C"/>
    <w:rsid w:val="006572EE"/>
    <w:rsid w:val="00696A56"/>
    <w:rsid w:val="0072310B"/>
    <w:rsid w:val="0079027C"/>
    <w:rsid w:val="007A004E"/>
    <w:rsid w:val="007E15BB"/>
    <w:rsid w:val="00996806"/>
    <w:rsid w:val="009A4121"/>
    <w:rsid w:val="009E467B"/>
    <w:rsid w:val="00AB25D6"/>
    <w:rsid w:val="00AC39D5"/>
    <w:rsid w:val="00B367BE"/>
    <w:rsid w:val="00B77FBA"/>
    <w:rsid w:val="00BB0D08"/>
    <w:rsid w:val="00BE0F4E"/>
    <w:rsid w:val="00C863DD"/>
    <w:rsid w:val="00CA2D6D"/>
    <w:rsid w:val="00CB13B2"/>
    <w:rsid w:val="00CC2216"/>
    <w:rsid w:val="00D17A03"/>
    <w:rsid w:val="00D62631"/>
    <w:rsid w:val="00D66349"/>
    <w:rsid w:val="00DC69D7"/>
    <w:rsid w:val="00E35B85"/>
    <w:rsid w:val="00EC2F77"/>
    <w:rsid w:val="00ED1004"/>
    <w:rsid w:val="00ED7B89"/>
    <w:rsid w:val="00F30525"/>
    <w:rsid w:val="00F72F44"/>
    <w:rsid w:val="00F8532D"/>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TabellemithellemGitternetz">
    <w:name w:val="Grid Table Light"/>
    <w:basedOn w:val="NormaleTabelle"/>
    <w:uiPriority w:val="40"/>
    <w:rsid w:val="00500FE2"/>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E35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2152</Words>
  <Characters>13559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2026-05-15T04:44:00Z</dcterms:created>
  <dcterms:modified xsi:type="dcterms:W3CDTF">2026-05-15T04:44:00Z</dcterms:modified>
</cp:coreProperties>
</file>