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C8D7F" w14:textId="77777777" w:rsidR="007357CB" w:rsidRPr="00534D2E" w:rsidRDefault="007357CB" w:rsidP="007357CB">
      <w:pPr>
        <w:pStyle w:val="KeinLeerraum"/>
        <w:rPr>
          <w:b/>
          <w:bCs/>
        </w:rPr>
      </w:pPr>
      <w:r w:rsidRPr="00534D2E">
        <w:rPr>
          <w:b/>
          <w:bCs/>
        </w:rPr>
        <w:t xml:space="preserve">Checkliste: </w:t>
      </w:r>
      <w:bookmarkStart w:id="0" w:name="_GoBack"/>
      <w:r w:rsidRPr="00534D2E">
        <w:rPr>
          <w:b/>
          <w:bCs/>
        </w:rPr>
        <w:t>Wichtige Datenschutzaspekte beim Geschäftsführerwechsel</w:t>
      </w:r>
      <w:bookmarkEnd w:id="0"/>
    </w:p>
    <w:p w14:paraId="70ED20BE" w14:textId="77777777" w:rsidR="007357CB" w:rsidRDefault="007357CB" w:rsidP="007357CB">
      <w:pPr>
        <w:pStyle w:val="KeinLeerraum"/>
      </w:pPr>
    </w:p>
    <w:tbl>
      <w:tblPr>
        <w:tblStyle w:val="Tabellenraster"/>
        <w:tblW w:w="0" w:type="auto"/>
        <w:tblLook w:val="04A0" w:firstRow="1" w:lastRow="0" w:firstColumn="1" w:lastColumn="0" w:noHBand="0" w:noVBand="1"/>
      </w:tblPr>
      <w:tblGrid>
        <w:gridCol w:w="3020"/>
        <w:gridCol w:w="4488"/>
        <w:gridCol w:w="1554"/>
      </w:tblGrid>
      <w:tr w:rsidR="007357CB" w14:paraId="70A91C1A" w14:textId="77777777" w:rsidTr="00483EE4">
        <w:tc>
          <w:tcPr>
            <w:tcW w:w="3020" w:type="dxa"/>
          </w:tcPr>
          <w:p w14:paraId="540E1088" w14:textId="77777777" w:rsidR="007357CB" w:rsidRPr="00C4414E" w:rsidRDefault="007357CB" w:rsidP="00483EE4">
            <w:pPr>
              <w:pStyle w:val="KeinLeerraum"/>
              <w:rPr>
                <w:b/>
                <w:bCs/>
              </w:rPr>
            </w:pPr>
            <w:r w:rsidRPr="00C4414E">
              <w:rPr>
                <w:b/>
                <w:bCs/>
              </w:rPr>
              <w:t>Aspekt</w:t>
            </w:r>
          </w:p>
        </w:tc>
        <w:tc>
          <w:tcPr>
            <w:tcW w:w="4488" w:type="dxa"/>
          </w:tcPr>
          <w:p w14:paraId="3A9D26D2" w14:textId="77777777" w:rsidR="007357CB" w:rsidRPr="00C4414E" w:rsidRDefault="007357CB" w:rsidP="00483EE4">
            <w:pPr>
              <w:pStyle w:val="KeinLeerraum"/>
              <w:rPr>
                <w:b/>
                <w:bCs/>
              </w:rPr>
            </w:pPr>
            <w:r w:rsidRPr="00C4414E">
              <w:rPr>
                <w:b/>
                <w:bCs/>
              </w:rPr>
              <w:t xml:space="preserve">Das sollten Sie </w:t>
            </w:r>
            <w:r w:rsidRPr="003D1FA0">
              <w:rPr>
                <w:b/>
                <w:bCs/>
              </w:rPr>
              <w:t>beachten</w:t>
            </w:r>
          </w:p>
        </w:tc>
        <w:tc>
          <w:tcPr>
            <w:tcW w:w="1554" w:type="dxa"/>
          </w:tcPr>
          <w:p w14:paraId="39E711F8" w14:textId="77777777" w:rsidR="007357CB" w:rsidRPr="00C4414E" w:rsidRDefault="007357CB" w:rsidP="00483EE4">
            <w:pPr>
              <w:pStyle w:val="KeinLeerraum"/>
              <w:rPr>
                <w:b/>
                <w:bCs/>
              </w:rPr>
            </w:pPr>
            <w:r w:rsidRPr="00C4414E">
              <w:rPr>
                <w:b/>
                <w:bCs/>
              </w:rPr>
              <w:t>Umgesetzt bzw. erledigt?</w:t>
            </w:r>
          </w:p>
        </w:tc>
      </w:tr>
      <w:tr w:rsidR="007357CB" w14:paraId="20A66DED" w14:textId="77777777" w:rsidTr="00483EE4">
        <w:tc>
          <w:tcPr>
            <w:tcW w:w="9062" w:type="dxa"/>
            <w:gridSpan w:val="3"/>
            <w:shd w:val="clear" w:color="auto" w:fill="C1E4F5" w:themeFill="accent1" w:themeFillTint="33"/>
          </w:tcPr>
          <w:p w14:paraId="22A7F673" w14:textId="77777777" w:rsidR="007357CB" w:rsidRPr="003B783C" w:rsidRDefault="007357CB" w:rsidP="00483EE4">
            <w:pPr>
              <w:pStyle w:val="KeinLeerraum"/>
              <w:rPr>
                <w:b/>
                <w:bCs/>
              </w:rPr>
            </w:pPr>
            <w:r w:rsidRPr="003B783C">
              <w:rPr>
                <w:b/>
                <w:bCs/>
              </w:rPr>
              <w:t>Allgemeines</w:t>
            </w:r>
          </w:p>
        </w:tc>
      </w:tr>
      <w:tr w:rsidR="007357CB" w14:paraId="09652964" w14:textId="77777777" w:rsidTr="00483EE4">
        <w:tc>
          <w:tcPr>
            <w:tcW w:w="3020" w:type="dxa"/>
          </w:tcPr>
          <w:p w14:paraId="2BD3CFE7" w14:textId="77777777" w:rsidR="007357CB" w:rsidRDefault="007357CB" w:rsidP="00483EE4">
            <w:pPr>
              <w:pStyle w:val="KeinLeerraum"/>
            </w:pPr>
            <w:r>
              <w:t>Ist ein Datum bzw. ein Zeitpunkt für das Ausscheiden bzw. den Wechsel festgelegt?</w:t>
            </w:r>
          </w:p>
        </w:tc>
        <w:tc>
          <w:tcPr>
            <w:tcW w:w="4488" w:type="dxa"/>
          </w:tcPr>
          <w:p w14:paraId="77DB8A3C" w14:textId="77777777" w:rsidR="007357CB" w:rsidRDefault="007357CB" w:rsidP="007357CB">
            <w:pPr>
              <w:pStyle w:val="KeinLeerraum"/>
              <w:numPr>
                <w:ilvl w:val="0"/>
                <w:numId w:val="17"/>
              </w:numPr>
            </w:pPr>
            <w:r>
              <w:t>Gerade wenn man plötzlich oder im Streit getrennte Wege geht, müssen relevante Punkte schnellstens umgesetzt werden. Insbesondere muss unterbunden werden, dass Daten unbefugt abfließen oder vernichtet werden.</w:t>
            </w:r>
          </w:p>
          <w:p w14:paraId="3C531E47" w14:textId="77777777" w:rsidR="007357CB" w:rsidRDefault="007357CB" w:rsidP="007357CB">
            <w:pPr>
              <w:pStyle w:val="KeinLeerraum"/>
              <w:numPr>
                <w:ilvl w:val="0"/>
                <w:numId w:val="17"/>
              </w:numPr>
            </w:pPr>
            <w:r>
              <w:t>Klären Sie mit der Personalabteilung bzw. anderen zuständigen Stellen im Unternehmen, wann die „Stunde null“ ist.</w:t>
            </w:r>
          </w:p>
        </w:tc>
        <w:tc>
          <w:tcPr>
            <w:tcW w:w="1554" w:type="dxa"/>
          </w:tcPr>
          <w:p w14:paraId="5BBD54A5"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3539442D" w14:textId="77777777" w:rsidTr="00483EE4">
        <w:tc>
          <w:tcPr>
            <w:tcW w:w="3020" w:type="dxa"/>
          </w:tcPr>
          <w:p w14:paraId="08F1A6F1" w14:textId="77777777" w:rsidR="007357CB" w:rsidRDefault="007357CB" w:rsidP="00483EE4">
            <w:pPr>
              <w:pStyle w:val="KeinLeerraum"/>
            </w:pPr>
            <w:r>
              <w:t>Gibt es einen kleinen Personenkreis, der relevante Vorbereitungen oder Maßnahmen trifft?</w:t>
            </w:r>
          </w:p>
        </w:tc>
        <w:tc>
          <w:tcPr>
            <w:tcW w:w="4488" w:type="dxa"/>
          </w:tcPr>
          <w:p w14:paraId="399E1536" w14:textId="77777777" w:rsidR="007357CB" w:rsidRDefault="007357CB" w:rsidP="007357CB">
            <w:pPr>
              <w:pStyle w:val="KeinLeerraum"/>
              <w:numPr>
                <w:ilvl w:val="0"/>
                <w:numId w:val="18"/>
              </w:numPr>
            </w:pPr>
            <w:r>
              <w:t xml:space="preserve">Mahnen Sie die Einhaltung des Minimalprinzips bzw. des </w:t>
            </w:r>
            <w:r w:rsidRPr="003D1FA0">
              <w:t>Need-to-know-Prinzips</w:t>
            </w:r>
            <w:r>
              <w:t xml:space="preserve"> an. Denn generell gilt: Je weniger von der Sache wissen, desto kleiner ist das Risiko, dass Informationen geleakt werden.</w:t>
            </w:r>
          </w:p>
          <w:p w14:paraId="00A09229" w14:textId="77777777" w:rsidR="007357CB" w:rsidRDefault="007357CB" w:rsidP="007357CB">
            <w:pPr>
              <w:pStyle w:val="KeinLeerraum"/>
              <w:numPr>
                <w:ilvl w:val="0"/>
                <w:numId w:val="18"/>
              </w:numPr>
            </w:pPr>
            <w:r>
              <w:t>Betrachten Sie unbedingt die funktionalen Aspekte, und zwar über Hierarchiegrenzen hinweg. Unter Umständen müssen auch Administratoren auf unterer Ebene eingebunden sein, damit etwa der Entzug von Zugriffsrechten schnell umgesetzt wird.</w:t>
            </w:r>
          </w:p>
        </w:tc>
        <w:tc>
          <w:tcPr>
            <w:tcW w:w="1554" w:type="dxa"/>
          </w:tcPr>
          <w:p w14:paraId="2B13E4B2"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5E6A5A49" w14:textId="77777777" w:rsidTr="00483EE4">
        <w:tc>
          <w:tcPr>
            <w:tcW w:w="3020" w:type="dxa"/>
          </w:tcPr>
          <w:p w14:paraId="70F94A93" w14:textId="77777777" w:rsidR="007357CB" w:rsidRDefault="007357CB" w:rsidP="00483EE4">
            <w:pPr>
              <w:pStyle w:val="KeinLeerraum"/>
            </w:pPr>
            <w:r>
              <w:t>Ist geklärt, welche Funktionen, Rollen und Berechtigungen die betreffende Person hatte?</w:t>
            </w:r>
          </w:p>
        </w:tc>
        <w:tc>
          <w:tcPr>
            <w:tcW w:w="4488" w:type="dxa"/>
          </w:tcPr>
          <w:p w14:paraId="26AED1E4" w14:textId="77777777" w:rsidR="007357CB" w:rsidRDefault="007357CB" w:rsidP="007357CB">
            <w:pPr>
              <w:pStyle w:val="KeinLeerraum"/>
              <w:numPr>
                <w:ilvl w:val="0"/>
                <w:numId w:val="19"/>
              </w:numPr>
            </w:pPr>
            <w:r>
              <w:t>Achten Sie darauf, dass es einen vollständigen Überblick über diese Aspekte gibt. Nur so wird sichergestellt, dass keine Umsetzungslücke und damit auch Risiken für den Datenschutz und für Geschäftsgeheimnisse entstehen.</w:t>
            </w:r>
          </w:p>
          <w:p w14:paraId="1BB6EA07" w14:textId="77777777" w:rsidR="007357CB" w:rsidRDefault="007357CB" w:rsidP="007357CB">
            <w:pPr>
              <w:pStyle w:val="KeinLeerraum"/>
              <w:numPr>
                <w:ilvl w:val="0"/>
                <w:numId w:val="19"/>
              </w:numPr>
            </w:pPr>
            <w:r>
              <w:t xml:space="preserve">Denken Sie nicht nur an systemgenerierte Übersichten. Auch das Gespräch mit wichtigen Kontaktpersonen bzw. mit der Assistenz kann Unbekanntes </w:t>
            </w:r>
            <w:r w:rsidRPr="003D1FA0">
              <w:t>zu</w:t>
            </w:r>
            <w:r>
              <w:t>t</w:t>
            </w:r>
            <w:r w:rsidRPr="003D1FA0">
              <w:t>age</w:t>
            </w:r>
            <w:r>
              <w:t xml:space="preserve"> fördern.</w:t>
            </w:r>
          </w:p>
        </w:tc>
        <w:tc>
          <w:tcPr>
            <w:tcW w:w="1554" w:type="dxa"/>
          </w:tcPr>
          <w:p w14:paraId="533CCBFC"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64C6DF46" w14:textId="77777777" w:rsidTr="00483EE4">
        <w:tc>
          <w:tcPr>
            <w:tcW w:w="3020" w:type="dxa"/>
          </w:tcPr>
          <w:p w14:paraId="31169742" w14:textId="77777777" w:rsidR="007357CB" w:rsidRDefault="007357CB" w:rsidP="00483EE4">
            <w:pPr>
              <w:pStyle w:val="KeinLeerraum"/>
            </w:pPr>
            <w:r>
              <w:t>Sind andere wichtige relevante Stellen im oder außerhalb des Unternehmens eingebunden?</w:t>
            </w:r>
          </w:p>
        </w:tc>
        <w:tc>
          <w:tcPr>
            <w:tcW w:w="4488" w:type="dxa"/>
          </w:tcPr>
          <w:p w14:paraId="4AB598AA" w14:textId="77777777" w:rsidR="007357CB" w:rsidRDefault="007357CB" w:rsidP="007357CB">
            <w:pPr>
              <w:pStyle w:val="KeinLeerraum"/>
              <w:numPr>
                <w:ilvl w:val="0"/>
                <w:numId w:val="20"/>
              </w:numPr>
            </w:pPr>
            <w:r>
              <w:t>Kommt es zu einem Wechsel an oberster Stelle, hat dies auch große Auswirkungen auf andere Themenbereiche, etwa im Bereich Gesellschafts- und Handelsrecht. Das heißt, z. B. Vollmachten und Zeichnungsberechtigungen müssen angepasst werden.</w:t>
            </w:r>
          </w:p>
          <w:p w14:paraId="33AE9BDB" w14:textId="77777777" w:rsidR="007357CB" w:rsidRDefault="007357CB" w:rsidP="007357CB">
            <w:pPr>
              <w:pStyle w:val="KeinLeerraum"/>
              <w:numPr>
                <w:ilvl w:val="0"/>
                <w:numId w:val="20"/>
              </w:numPr>
            </w:pPr>
            <w:r>
              <w:t xml:space="preserve">Klären Sie, inwieweit etwa die Rechtsabteilung und der </w:t>
            </w:r>
            <w:r w:rsidRPr="003D1FA0">
              <w:t>Compliance</w:t>
            </w:r>
            <w:r>
              <w:t xml:space="preserve"> </w:t>
            </w:r>
            <w:r w:rsidRPr="003D1FA0">
              <w:t>Officer</w:t>
            </w:r>
            <w:r>
              <w:t xml:space="preserve"> eingebunden sind. Ggf. sind auch externe Berater oder Kanzleien zu informieren, etwa im Rahmen von Ermittlungen.</w:t>
            </w:r>
          </w:p>
        </w:tc>
        <w:tc>
          <w:tcPr>
            <w:tcW w:w="1554" w:type="dxa"/>
          </w:tcPr>
          <w:p w14:paraId="4C9E0231"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621F6C6B" w14:textId="77777777" w:rsidTr="00483EE4">
        <w:tc>
          <w:tcPr>
            <w:tcW w:w="3020" w:type="dxa"/>
          </w:tcPr>
          <w:p w14:paraId="3C707997" w14:textId="77777777" w:rsidR="007357CB" w:rsidRDefault="007357CB" w:rsidP="00483EE4">
            <w:pPr>
              <w:pStyle w:val="KeinLeerraum"/>
            </w:pPr>
            <w:r>
              <w:t>Sind die Beteiligten zur Vertraulichkeit bzw. Geheimhaltung verpflichtet?</w:t>
            </w:r>
          </w:p>
        </w:tc>
        <w:tc>
          <w:tcPr>
            <w:tcW w:w="4488" w:type="dxa"/>
          </w:tcPr>
          <w:p w14:paraId="41F564AE" w14:textId="77777777" w:rsidR="007357CB" w:rsidRDefault="007357CB" w:rsidP="007357CB">
            <w:pPr>
              <w:pStyle w:val="KeinLeerraum"/>
              <w:numPr>
                <w:ilvl w:val="0"/>
                <w:numId w:val="21"/>
              </w:numPr>
            </w:pPr>
            <w:r>
              <w:t>Vertrauen Sie hier nicht auf mündliche Zusagen oder die Aussage, dass sich das doch von selbst verstehe.</w:t>
            </w:r>
          </w:p>
          <w:p w14:paraId="7E244458" w14:textId="77777777" w:rsidR="007357CB" w:rsidRDefault="007357CB" w:rsidP="007357CB">
            <w:pPr>
              <w:pStyle w:val="KeinLeerraum"/>
              <w:numPr>
                <w:ilvl w:val="0"/>
                <w:numId w:val="21"/>
              </w:numPr>
            </w:pPr>
            <w:r>
              <w:t>Prüfen Sie zumindest stichprobenhaft, ob entsprechende Verpflichtungen existieren, am besten schwarz auf weiß.</w:t>
            </w:r>
          </w:p>
        </w:tc>
        <w:tc>
          <w:tcPr>
            <w:tcW w:w="1554" w:type="dxa"/>
          </w:tcPr>
          <w:p w14:paraId="505EDBB4"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75FAC4E6" w14:textId="77777777" w:rsidTr="00483EE4">
        <w:tc>
          <w:tcPr>
            <w:tcW w:w="3020" w:type="dxa"/>
          </w:tcPr>
          <w:p w14:paraId="6A8F3184" w14:textId="77777777" w:rsidR="007357CB" w:rsidRDefault="007357CB" w:rsidP="00483EE4">
            <w:pPr>
              <w:pStyle w:val="KeinLeerraum"/>
            </w:pPr>
            <w:r>
              <w:t>Wer trifft relevante Entscheidung bezüglich einzuleitender Maßnahmen?</w:t>
            </w:r>
          </w:p>
        </w:tc>
        <w:tc>
          <w:tcPr>
            <w:tcW w:w="4488" w:type="dxa"/>
          </w:tcPr>
          <w:p w14:paraId="126B7D55" w14:textId="77777777" w:rsidR="007357CB" w:rsidRDefault="007357CB" w:rsidP="007357CB">
            <w:pPr>
              <w:pStyle w:val="KeinLeerraum"/>
              <w:numPr>
                <w:ilvl w:val="0"/>
                <w:numId w:val="22"/>
              </w:numPr>
            </w:pPr>
            <w:r>
              <w:t>Diese Information kann auch für Sie wichtig sein, denn nur so wissen Sie, wen Sie unter Datenschutzaspekten bezüglich relevanter Fragen beraten.</w:t>
            </w:r>
          </w:p>
          <w:p w14:paraId="40B3DA54" w14:textId="77777777" w:rsidR="007357CB" w:rsidRDefault="007357CB" w:rsidP="007357CB">
            <w:pPr>
              <w:pStyle w:val="KeinLeerraum"/>
              <w:numPr>
                <w:ilvl w:val="0"/>
                <w:numId w:val="22"/>
              </w:numPr>
            </w:pPr>
            <w:r>
              <w:t xml:space="preserve">Gerade beim Geschäftsführerwechsel, kommt es auch zu einem Austausch des </w:t>
            </w:r>
            <w:r>
              <w:lastRenderedPageBreak/>
              <w:t>Kopfes des Verantwortlichen im Sinne von Art. 4 Nr. 7 DSGVO.</w:t>
            </w:r>
          </w:p>
        </w:tc>
        <w:tc>
          <w:tcPr>
            <w:tcW w:w="1554" w:type="dxa"/>
          </w:tcPr>
          <w:p w14:paraId="4ECBA80C" w14:textId="77777777" w:rsidR="007357CB" w:rsidRDefault="007357CB" w:rsidP="00483EE4">
            <w:pPr>
              <w:pStyle w:val="KeinLeerraum"/>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3C5C2F13" w14:textId="77777777" w:rsidTr="00483EE4">
        <w:tc>
          <w:tcPr>
            <w:tcW w:w="3020" w:type="dxa"/>
          </w:tcPr>
          <w:p w14:paraId="3060A504" w14:textId="77777777" w:rsidR="007357CB" w:rsidRDefault="007357CB" w:rsidP="00483EE4">
            <w:pPr>
              <w:pStyle w:val="KeinLeerraum"/>
            </w:pPr>
            <w:r w:rsidRPr="00752F2B">
              <w:t>Läuft alles nach dem festgelegten Offboarding-Prozess?</w:t>
            </w:r>
          </w:p>
        </w:tc>
        <w:tc>
          <w:tcPr>
            <w:tcW w:w="4488" w:type="dxa"/>
          </w:tcPr>
          <w:p w14:paraId="06A74EDE" w14:textId="77777777" w:rsidR="007357CB" w:rsidRDefault="007357CB" w:rsidP="007357CB">
            <w:pPr>
              <w:pStyle w:val="KeinLeerraum"/>
              <w:numPr>
                <w:ilvl w:val="0"/>
                <w:numId w:val="23"/>
              </w:numPr>
            </w:pPr>
            <w:r>
              <w:t>Auch wenn aufgrund einer besonderen Situation besondere Maßnahmen erforderlich sind, sollten die Verantwortlichen den Standardprozess einhalten. Das bewahrt davor, dass sie etwas vergessen oder übersehen.</w:t>
            </w:r>
          </w:p>
          <w:p w14:paraId="5B8947E7" w14:textId="77777777" w:rsidR="007357CB" w:rsidRDefault="007357CB" w:rsidP="007357CB">
            <w:pPr>
              <w:pStyle w:val="KeinLeerraum"/>
              <w:numPr>
                <w:ilvl w:val="0"/>
                <w:numId w:val="23"/>
              </w:numPr>
            </w:pPr>
            <w:r>
              <w:t xml:space="preserve">Haben Sie vor allem ein Auge auf die datenschutzrelevanten Prüfpunkte beim </w:t>
            </w:r>
            <w:r w:rsidRPr="003D1FA0">
              <w:t>Offboarding</w:t>
            </w:r>
            <w:r>
              <w:t>. Prüfen Sie zudem, inwieweit eine Checkliste auf der Höhe der Zeit ist. Neue Themen, z. B. die Sperrung des Zugangs zu Onlinespeichern, dürfen nicht fehlen.</w:t>
            </w:r>
          </w:p>
        </w:tc>
        <w:tc>
          <w:tcPr>
            <w:tcW w:w="1554" w:type="dxa"/>
          </w:tcPr>
          <w:p w14:paraId="3C985E08"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47B62332" w14:textId="77777777" w:rsidTr="00483EE4">
        <w:tc>
          <w:tcPr>
            <w:tcW w:w="9062" w:type="dxa"/>
            <w:gridSpan w:val="3"/>
            <w:shd w:val="clear" w:color="auto" w:fill="C1E4F5" w:themeFill="accent1" w:themeFillTint="33"/>
          </w:tcPr>
          <w:p w14:paraId="3786C165" w14:textId="77777777" w:rsidR="007357CB" w:rsidRPr="003B783C" w:rsidRDefault="007357CB" w:rsidP="00483EE4">
            <w:pPr>
              <w:pStyle w:val="KeinLeerraum"/>
              <w:rPr>
                <w:b/>
                <w:bCs/>
              </w:rPr>
            </w:pPr>
            <w:r w:rsidRPr="003B783C">
              <w:rPr>
                <w:b/>
                <w:bCs/>
              </w:rPr>
              <w:t>Berechtigungen</w:t>
            </w:r>
          </w:p>
        </w:tc>
      </w:tr>
      <w:tr w:rsidR="007357CB" w14:paraId="59A92ED7" w14:textId="77777777" w:rsidTr="00483EE4">
        <w:tc>
          <w:tcPr>
            <w:tcW w:w="3020" w:type="dxa"/>
          </w:tcPr>
          <w:p w14:paraId="31711765" w14:textId="77777777" w:rsidR="007357CB" w:rsidRDefault="007357CB" w:rsidP="00483EE4">
            <w:pPr>
              <w:pStyle w:val="KeinLeerraum"/>
            </w:pPr>
            <w:r>
              <w:t>Haben Administratoren alle zugeordneten Benutzerkonten deaktiviert?</w:t>
            </w:r>
          </w:p>
        </w:tc>
        <w:tc>
          <w:tcPr>
            <w:tcW w:w="4488" w:type="dxa"/>
          </w:tcPr>
          <w:p w14:paraId="5A9B5C8D" w14:textId="77777777" w:rsidR="007357CB" w:rsidRDefault="007357CB" w:rsidP="007357CB">
            <w:pPr>
              <w:pStyle w:val="KeinLeerraum"/>
              <w:numPr>
                <w:ilvl w:val="0"/>
                <w:numId w:val="24"/>
              </w:numPr>
            </w:pPr>
            <w:r>
              <w:t xml:space="preserve">Achten Sie darauf, dass zunächst alle </w:t>
            </w:r>
            <w:r w:rsidRPr="003D1FA0">
              <w:t>Single-sign-on-Konten</w:t>
            </w:r>
            <w:r>
              <w:t xml:space="preserve"> deaktiviert werden. Dann ist der Zugriff auf zugeordnete Systeme ebenfalls deaktiviert. Auch sollten aktive Sitzungen gezielt beendet werden.</w:t>
            </w:r>
          </w:p>
          <w:p w14:paraId="153A656B" w14:textId="77777777" w:rsidR="007357CB" w:rsidRDefault="007357CB" w:rsidP="007357CB">
            <w:pPr>
              <w:pStyle w:val="KeinLeerraum"/>
              <w:numPr>
                <w:ilvl w:val="0"/>
                <w:numId w:val="24"/>
              </w:numPr>
            </w:pPr>
            <w:r>
              <w:t>Ein Deaktivieren von Konten reicht zunächst aus, über das Löschen wird später entschieden. Ein sofortiges bzw. unbedachtes Löschen kann viel Schaden anrichten, etwa wenn es um Beweismittel geht oder wenn personenbezogene Daten unbefugt gelöscht werden.</w:t>
            </w:r>
          </w:p>
        </w:tc>
        <w:tc>
          <w:tcPr>
            <w:tcW w:w="1554" w:type="dxa"/>
          </w:tcPr>
          <w:p w14:paraId="7C516553"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48D08CC7" w14:textId="77777777" w:rsidTr="00483EE4">
        <w:tc>
          <w:tcPr>
            <w:tcW w:w="3020" w:type="dxa"/>
          </w:tcPr>
          <w:p w14:paraId="4A76DA87" w14:textId="77777777" w:rsidR="007357CB" w:rsidRDefault="007357CB" w:rsidP="00483EE4">
            <w:pPr>
              <w:pStyle w:val="KeinLeerraum"/>
            </w:pPr>
            <w:r>
              <w:t>Hat die IT-Abteilung Fernzugriffe unterbunden und Berechtigungen eingeschränkt oder deaktiviert?</w:t>
            </w:r>
          </w:p>
        </w:tc>
        <w:tc>
          <w:tcPr>
            <w:tcW w:w="4488" w:type="dxa"/>
          </w:tcPr>
          <w:p w14:paraId="4CAA4083" w14:textId="77777777" w:rsidR="007357CB" w:rsidRDefault="007357CB" w:rsidP="007357CB">
            <w:pPr>
              <w:pStyle w:val="KeinLeerraum"/>
              <w:numPr>
                <w:ilvl w:val="0"/>
                <w:numId w:val="25"/>
              </w:numPr>
            </w:pPr>
            <w:r>
              <w:t>Solche Zugänge dürfen nicht übersehen werden. Ansonsten können Daten weiter aus der Ferne abgerufen werden.</w:t>
            </w:r>
          </w:p>
          <w:p w14:paraId="3A79C8C4" w14:textId="77777777" w:rsidR="007357CB" w:rsidRDefault="007357CB" w:rsidP="007357CB">
            <w:pPr>
              <w:pStyle w:val="KeinLeerraum"/>
              <w:numPr>
                <w:ilvl w:val="0"/>
                <w:numId w:val="25"/>
              </w:numPr>
            </w:pPr>
            <w:r>
              <w:t>Die Deaktivierung sollte mit sofortiger Wirkung erfolgen, um die vollständige Kontrolle über die im Zugriff liegenden Daten zu erhalten.</w:t>
            </w:r>
          </w:p>
        </w:tc>
        <w:tc>
          <w:tcPr>
            <w:tcW w:w="1554" w:type="dxa"/>
          </w:tcPr>
          <w:p w14:paraId="6D17E59C"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434A931C" w14:textId="77777777" w:rsidTr="00483EE4">
        <w:tc>
          <w:tcPr>
            <w:tcW w:w="3020" w:type="dxa"/>
          </w:tcPr>
          <w:p w14:paraId="03B598EC" w14:textId="77777777" w:rsidR="007357CB" w:rsidRDefault="007357CB" w:rsidP="00483EE4">
            <w:pPr>
              <w:pStyle w:val="KeinLeerraum"/>
            </w:pPr>
            <w:r>
              <w:t>Wurde der Zugriff auf externe Systeme oder Datenspeicher (z. B. Cloud) gestoppt?</w:t>
            </w:r>
          </w:p>
        </w:tc>
        <w:tc>
          <w:tcPr>
            <w:tcW w:w="4488" w:type="dxa"/>
          </w:tcPr>
          <w:p w14:paraId="68B8350D" w14:textId="77777777" w:rsidR="007357CB" w:rsidRDefault="007357CB" w:rsidP="007357CB">
            <w:pPr>
              <w:pStyle w:val="KeinLeerraum"/>
              <w:numPr>
                <w:ilvl w:val="0"/>
                <w:numId w:val="26"/>
              </w:numPr>
            </w:pPr>
            <w:r>
              <w:t>Unter Umständen hatte die betreffende Person auch Zugriff auf Fremdsysteme. Diese Zugriffe sollten unverzüglich entzogen werden.</w:t>
            </w:r>
          </w:p>
          <w:p w14:paraId="7DD83113" w14:textId="77777777" w:rsidR="007357CB" w:rsidRDefault="007357CB" w:rsidP="007357CB">
            <w:pPr>
              <w:pStyle w:val="KeinLeerraum"/>
              <w:numPr>
                <w:ilvl w:val="0"/>
                <w:numId w:val="26"/>
              </w:numPr>
            </w:pPr>
            <w:r>
              <w:t>Eventuell müssen Dritte gebeten werden, einen Account in deren System zu sperren. Auch hier sollte bei der entsprechenden Anfrage das Need-to-know-Prinzip umgesetzt werden.</w:t>
            </w:r>
          </w:p>
        </w:tc>
        <w:tc>
          <w:tcPr>
            <w:tcW w:w="1554" w:type="dxa"/>
          </w:tcPr>
          <w:p w14:paraId="69DFA1AF"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2BDEE7C5" w14:textId="77777777" w:rsidTr="00483EE4">
        <w:tc>
          <w:tcPr>
            <w:tcW w:w="3020" w:type="dxa"/>
          </w:tcPr>
          <w:p w14:paraId="1EFA7F87" w14:textId="77777777" w:rsidR="007357CB" w:rsidRDefault="007357CB" w:rsidP="00483EE4">
            <w:pPr>
              <w:pStyle w:val="KeinLeerraum"/>
            </w:pPr>
            <w:r>
              <w:t>Wurden Prozesse und Genehmigungsberechtigungen angepasst?</w:t>
            </w:r>
          </w:p>
        </w:tc>
        <w:tc>
          <w:tcPr>
            <w:tcW w:w="4488" w:type="dxa"/>
          </w:tcPr>
          <w:p w14:paraId="0AFB162B" w14:textId="77777777" w:rsidR="007357CB" w:rsidRDefault="007357CB" w:rsidP="007357CB">
            <w:pPr>
              <w:pStyle w:val="KeinLeerraum"/>
              <w:numPr>
                <w:ilvl w:val="0"/>
                <w:numId w:val="27"/>
              </w:numPr>
            </w:pPr>
            <w:r>
              <w:t>Gerade Geschäftsführer oder das obere Management verfügen über weitreichende Verfügungsbefugnisse. Diese müssen beschränkt werden.</w:t>
            </w:r>
          </w:p>
          <w:p w14:paraId="5D8E24F8" w14:textId="77777777" w:rsidR="007357CB" w:rsidRDefault="007357CB" w:rsidP="007357CB">
            <w:pPr>
              <w:pStyle w:val="KeinLeerraum"/>
              <w:numPr>
                <w:ilvl w:val="0"/>
                <w:numId w:val="27"/>
              </w:numPr>
            </w:pPr>
            <w:r>
              <w:t>Binden Sie hier andere relevante Stellen mit ein, etwa auch das Finanzcontrolling, wenn es um die Freigabe von Zahlungen geht.</w:t>
            </w:r>
          </w:p>
        </w:tc>
        <w:tc>
          <w:tcPr>
            <w:tcW w:w="1554" w:type="dxa"/>
          </w:tcPr>
          <w:p w14:paraId="312D2486"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1ED30D56" w14:textId="77777777" w:rsidTr="00483EE4">
        <w:tc>
          <w:tcPr>
            <w:tcW w:w="9062" w:type="dxa"/>
            <w:gridSpan w:val="3"/>
            <w:shd w:val="clear" w:color="auto" w:fill="C1E4F5" w:themeFill="accent1" w:themeFillTint="33"/>
          </w:tcPr>
          <w:p w14:paraId="216E4829" w14:textId="77777777" w:rsidR="007357CB" w:rsidRPr="00B203E1" w:rsidRDefault="007357CB" w:rsidP="00483EE4">
            <w:pPr>
              <w:pStyle w:val="KeinLeerraum"/>
              <w:rPr>
                <w:b/>
                <w:bCs/>
              </w:rPr>
            </w:pPr>
            <w:r w:rsidRPr="00B203E1">
              <w:rPr>
                <w:b/>
                <w:bCs/>
              </w:rPr>
              <w:t>Geräte, Datenträger und Unterlagen</w:t>
            </w:r>
          </w:p>
        </w:tc>
      </w:tr>
      <w:tr w:rsidR="007357CB" w14:paraId="1F628623" w14:textId="77777777" w:rsidTr="00483EE4">
        <w:tc>
          <w:tcPr>
            <w:tcW w:w="3020" w:type="dxa"/>
          </w:tcPr>
          <w:p w14:paraId="21B357D0" w14:textId="77777777" w:rsidR="007357CB" w:rsidRDefault="007357CB" w:rsidP="00483EE4">
            <w:pPr>
              <w:pStyle w:val="KeinLeerraum"/>
            </w:pPr>
            <w:r>
              <w:t>Hat die ausscheidende Person alle technischen Arbeitsmittel und Unterlagen zurückgegeben?</w:t>
            </w:r>
          </w:p>
        </w:tc>
        <w:tc>
          <w:tcPr>
            <w:tcW w:w="4488" w:type="dxa"/>
          </w:tcPr>
          <w:p w14:paraId="783C898C" w14:textId="77777777" w:rsidR="007357CB" w:rsidRDefault="007357CB" w:rsidP="007357CB">
            <w:pPr>
              <w:pStyle w:val="KeinLeerraum"/>
              <w:numPr>
                <w:ilvl w:val="0"/>
                <w:numId w:val="28"/>
              </w:numPr>
            </w:pPr>
            <w:r>
              <w:t>Idealerweise wird hier auf eine Inventarliste gesetzt. Gegen diese kann geprüft werden, ob alles zurückgegeben wurde.</w:t>
            </w:r>
          </w:p>
          <w:p w14:paraId="4575A889" w14:textId="77777777" w:rsidR="007357CB" w:rsidRDefault="007357CB" w:rsidP="007357CB">
            <w:pPr>
              <w:pStyle w:val="KeinLeerraum"/>
              <w:numPr>
                <w:ilvl w:val="0"/>
                <w:numId w:val="28"/>
              </w:numPr>
            </w:pPr>
            <w:r>
              <w:t>Geräte und Unterlagen im Homeoffice dürfen nicht vergessen werden.</w:t>
            </w:r>
          </w:p>
          <w:p w14:paraId="4DCF602B" w14:textId="77777777" w:rsidR="007357CB" w:rsidRDefault="007357CB" w:rsidP="007357CB">
            <w:pPr>
              <w:pStyle w:val="KeinLeerraum"/>
              <w:numPr>
                <w:ilvl w:val="0"/>
                <w:numId w:val="28"/>
              </w:numPr>
            </w:pPr>
            <w:r>
              <w:t xml:space="preserve">Ggf. müssen andere Stellen eingebunden werden, um Geräte oder Unterlagen vor Ort </w:t>
            </w:r>
            <w:r>
              <w:lastRenderedPageBreak/>
              <w:t>abzuholen. Zu langes Warten kann hier zum Problem werden.</w:t>
            </w:r>
          </w:p>
        </w:tc>
        <w:tc>
          <w:tcPr>
            <w:tcW w:w="1554" w:type="dxa"/>
          </w:tcPr>
          <w:p w14:paraId="27A927A4" w14:textId="77777777" w:rsidR="007357CB" w:rsidRDefault="007357CB" w:rsidP="00483EE4">
            <w:pPr>
              <w:pStyle w:val="KeinLeerraum"/>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15D3DEF8" w14:textId="77777777" w:rsidTr="00483EE4">
        <w:tc>
          <w:tcPr>
            <w:tcW w:w="3020" w:type="dxa"/>
          </w:tcPr>
          <w:p w14:paraId="21C0B21A" w14:textId="77777777" w:rsidR="007357CB" w:rsidRDefault="007357CB" w:rsidP="00483EE4">
            <w:pPr>
              <w:pStyle w:val="KeinLeerraum"/>
            </w:pPr>
            <w:r>
              <w:t>Hat die IT-Abteilung Kommunikationsmöglichkeiten deaktiviert bzw. umgeleitet?</w:t>
            </w:r>
          </w:p>
        </w:tc>
        <w:tc>
          <w:tcPr>
            <w:tcW w:w="4488" w:type="dxa"/>
          </w:tcPr>
          <w:p w14:paraId="787D4A90" w14:textId="77777777" w:rsidR="007357CB" w:rsidRDefault="007357CB" w:rsidP="007357CB">
            <w:pPr>
              <w:pStyle w:val="KeinLeerraum"/>
              <w:numPr>
                <w:ilvl w:val="0"/>
                <w:numId w:val="29"/>
              </w:numPr>
            </w:pPr>
            <w:r>
              <w:t>Das gilt nicht nur für das E-Mail-Postfach. Auch Mobilfunk, Messenger- oder Social-Media-Accounts sollten gesperrt werden.</w:t>
            </w:r>
          </w:p>
          <w:p w14:paraId="79A25C36" w14:textId="77777777" w:rsidR="007357CB" w:rsidRDefault="007357CB" w:rsidP="007357CB">
            <w:pPr>
              <w:pStyle w:val="KeinLeerraum"/>
              <w:numPr>
                <w:ilvl w:val="0"/>
                <w:numId w:val="29"/>
              </w:numPr>
            </w:pPr>
            <w:r>
              <w:t>Bei einer Umleitung muss geprüft werden, ob dies unter Datenschutz- und Transparenzaspekten vertretbar ist.</w:t>
            </w:r>
          </w:p>
        </w:tc>
        <w:tc>
          <w:tcPr>
            <w:tcW w:w="1554" w:type="dxa"/>
          </w:tcPr>
          <w:p w14:paraId="64B88504"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29053706" w14:textId="77777777" w:rsidTr="00483EE4">
        <w:tc>
          <w:tcPr>
            <w:tcW w:w="3020" w:type="dxa"/>
          </w:tcPr>
          <w:p w14:paraId="7C1D94E0" w14:textId="77777777" w:rsidR="007357CB" w:rsidRDefault="007357CB" w:rsidP="00483EE4">
            <w:pPr>
              <w:pStyle w:val="KeinLeerraum"/>
            </w:pPr>
            <w:r>
              <w:t>Haben die zuständigen Stellen festgelegt, inwieweit eine Löschung der Geräte bzw. Datenträger erfolgen darf?</w:t>
            </w:r>
          </w:p>
        </w:tc>
        <w:tc>
          <w:tcPr>
            <w:tcW w:w="4488" w:type="dxa"/>
          </w:tcPr>
          <w:p w14:paraId="15E54BD7" w14:textId="77777777" w:rsidR="007357CB" w:rsidRDefault="007357CB" w:rsidP="007357CB">
            <w:pPr>
              <w:pStyle w:val="KeinLeerraum"/>
              <w:numPr>
                <w:ilvl w:val="0"/>
                <w:numId w:val="30"/>
              </w:numPr>
            </w:pPr>
            <w:r>
              <w:t>Unter Umständen haben die Geräte Bedeutung für rechtliche Auseinandersetzungen. Ein unbedachtes Löschen wäre schlecht.</w:t>
            </w:r>
          </w:p>
          <w:p w14:paraId="189B3154" w14:textId="77777777" w:rsidR="007357CB" w:rsidRDefault="007357CB" w:rsidP="007357CB">
            <w:pPr>
              <w:pStyle w:val="KeinLeerraum"/>
              <w:numPr>
                <w:ilvl w:val="0"/>
                <w:numId w:val="30"/>
              </w:numPr>
            </w:pPr>
            <w:r>
              <w:t>Am besten wird für die Geräte oder Datenträger konkret festgelegt, wer wann über eine Löschung entscheidet.</w:t>
            </w:r>
          </w:p>
        </w:tc>
        <w:tc>
          <w:tcPr>
            <w:tcW w:w="1554" w:type="dxa"/>
          </w:tcPr>
          <w:p w14:paraId="14C01C2A"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0ECFBC8E" w14:textId="77777777" w:rsidTr="00483EE4">
        <w:tc>
          <w:tcPr>
            <w:tcW w:w="9062" w:type="dxa"/>
            <w:gridSpan w:val="3"/>
            <w:shd w:val="clear" w:color="auto" w:fill="C1E4F5" w:themeFill="accent1" w:themeFillTint="33"/>
          </w:tcPr>
          <w:p w14:paraId="481CAAC2" w14:textId="77777777" w:rsidR="007357CB" w:rsidRPr="005F732D" w:rsidRDefault="007357CB" w:rsidP="00483EE4">
            <w:pPr>
              <w:pStyle w:val="KeinLeerraum"/>
              <w:rPr>
                <w:b/>
                <w:bCs/>
              </w:rPr>
            </w:pPr>
            <w:r w:rsidRPr="005F732D">
              <w:rPr>
                <w:b/>
                <w:bCs/>
              </w:rPr>
              <w:t>Zutritt und physische Sicherheit</w:t>
            </w:r>
          </w:p>
        </w:tc>
      </w:tr>
      <w:tr w:rsidR="007357CB" w14:paraId="51387B80" w14:textId="77777777" w:rsidTr="00483EE4">
        <w:tc>
          <w:tcPr>
            <w:tcW w:w="3020" w:type="dxa"/>
          </w:tcPr>
          <w:p w14:paraId="52815286" w14:textId="77777777" w:rsidR="007357CB" w:rsidRDefault="007357CB" w:rsidP="00483EE4">
            <w:pPr>
              <w:pStyle w:val="KeinLeerraum"/>
            </w:pPr>
            <w:r>
              <w:t>Hat die betreffende Person alle Zutrittsmittel zurückgegeben?</w:t>
            </w:r>
          </w:p>
        </w:tc>
        <w:tc>
          <w:tcPr>
            <w:tcW w:w="4488" w:type="dxa"/>
          </w:tcPr>
          <w:p w14:paraId="4647CEB3" w14:textId="77777777" w:rsidR="007357CB" w:rsidRDefault="007357CB" w:rsidP="007357CB">
            <w:pPr>
              <w:pStyle w:val="KeinLeerraum"/>
              <w:numPr>
                <w:ilvl w:val="0"/>
                <w:numId w:val="31"/>
              </w:numPr>
            </w:pPr>
            <w:r>
              <w:t>Das sind vor allem (General-)Schlüssel oder Codekarten. Zu denken ist aber auch an Schlüssel für Schließfächer oder Archivräume außerhalb.</w:t>
            </w:r>
          </w:p>
          <w:p w14:paraId="4BD171B5" w14:textId="77777777" w:rsidR="007357CB" w:rsidRDefault="007357CB" w:rsidP="007357CB">
            <w:pPr>
              <w:pStyle w:val="KeinLeerraum"/>
              <w:numPr>
                <w:ilvl w:val="0"/>
                <w:numId w:val="31"/>
              </w:numPr>
            </w:pPr>
            <w:r>
              <w:t>Am besten wird gegen eine Inventarliste geprüft. Für Fehlendes müssen Maßnahmen festgelegt werden.</w:t>
            </w:r>
          </w:p>
          <w:p w14:paraId="3D040DF0" w14:textId="77777777" w:rsidR="007357CB" w:rsidRDefault="007357CB" w:rsidP="007357CB">
            <w:pPr>
              <w:pStyle w:val="KeinLeerraum"/>
              <w:numPr>
                <w:ilvl w:val="0"/>
                <w:numId w:val="31"/>
              </w:numPr>
            </w:pPr>
            <w:r>
              <w:t>Relevante Berechtigungen zu Zutritt oder Zufahrt sollten systemseitig gesperrt werden.</w:t>
            </w:r>
          </w:p>
        </w:tc>
        <w:tc>
          <w:tcPr>
            <w:tcW w:w="1554" w:type="dxa"/>
          </w:tcPr>
          <w:p w14:paraId="5F977A37"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67971C19" w14:textId="77777777" w:rsidTr="00483EE4">
        <w:tc>
          <w:tcPr>
            <w:tcW w:w="3020" w:type="dxa"/>
          </w:tcPr>
          <w:p w14:paraId="7EE6D070" w14:textId="77777777" w:rsidR="007357CB" w:rsidRDefault="007357CB" w:rsidP="00483EE4">
            <w:pPr>
              <w:pStyle w:val="KeinLeerraum"/>
            </w:pPr>
            <w:r>
              <w:t>Ist der Empfang bzw. Werkschutz informiert und instruiert?</w:t>
            </w:r>
          </w:p>
        </w:tc>
        <w:tc>
          <w:tcPr>
            <w:tcW w:w="4488" w:type="dxa"/>
          </w:tcPr>
          <w:p w14:paraId="77D74AF3" w14:textId="77777777" w:rsidR="007357CB" w:rsidRDefault="007357CB" w:rsidP="007357CB">
            <w:pPr>
              <w:pStyle w:val="KeinLeerraum"/>
              <w:numPr>
                <w:ilvl w:val="0"/>
                <w:numId w:val="32"/>
              </w:numPr>
            </w:pPr>
            <w:r>
              <w:t>Klare Anweisungen sind unerlässlich, damit etwa der frühere Geschäftsführer nicht einfach durchgewunken wird.</w:t>
            </w:r>
          </w:p>
          <w:p w14:paraId="19634CA2" w14:textId="77777777" w:rsidR="007357CB" w:rsidRDefault="007357CB" w:rsidP="007357CB">
            <w:pPr>
              <w:pStyle w:val="KeinLeerraum"/>
              <w:numPr>
                <w:ilvl w:val="0"/>
                <w:numId w:val="32"/>
              </w:numPr>
            </w:pPr>
            <w:r>
              <w:t>Geregelt sein sollte auch das Verhalten in bestimmten Situationen bzw. was bei einem „Besuch“ passieren muss.</w:t>
            </w:r>
          </w:p>
        </w:tc>
        <w:tc>
          <w:tcPr>
            <w:tcW w:w="1554" w:type="dxa"/>
          </w:tcPr>
          <w:p w14:paraId="117F9C2D"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33993B0F" w14:textId="77777777" w:rsidTr="00483EE4">
        <w:tc>
          <w:tcPr>
            <w:tcW w:w="9062" w:type="dxa"/>
            <w:gridSpan w:val="3"/>
            <w:shd w:val="clear" w:color="auto" w:fill="C1E4F5" w:themeFill="accent1" w:themeFillTint="33"/>
          </w:tcPr>
          <w:p w14:paraId="2B1DDC4D" w14:textId="77777777" w:rsidR="007357CB" w:rsidRPr="0020773B" w:rsidRDefault="007357CB" w:rsidP="00483EE4">
            <w:pPr>
              <w:pStyle w:val="KeinLeerraum"/>
              <w:rPr>
                <w:b/>
                <w:bCs/>
              </w:rPr>
            </w:pPr>
            <w:r w:rsidRPr="0020773B">
              <w:rPr>
                <w:b/>
                <w:bCs/>
              </w:rPr>
              <w:t>Information und Transparenz</w:t>
            </w:r>
          </w:p>
        </w:tc>
      </w:tr>
      <w:tr w:rsidR="007357CB" w14:paraId="71A1337B" w14:textId="77777777" w:rsidTr="00483EE4">
        <w:tc>
          <w:tcPr>
            <w:tcW w:w="3020" w:type="dxa"/>
          </w:tcPr>
          <w:p w14:paraId="187B740F" w14:textId="77777777" w:rsidR="007357CB" w:rsidRPr="0020773B" w:rsidRDefault="007357CB" w:rsidP="00483EE4">
            <w:pPr>
              <w:pStyle w:val="KeinLeerraum"/>
            </w:pPr>
            <w:r w:rsidRPr="0020773B">
              <w:t>Werden die Beschäftigten zeitnah und einheitlich informiert?</w:t>
            </w:r>
          </w:p>
        </w:tc>
        <w:tc>
          <w:tcPr>
            <w:tcW w:w="4488" w:type="dxa"/>
          </w:tcPr>
          <w:p w14:paraId="53203379" w14:textId="77777777" w:rsidR="007357CB" w:rsidRDefault="007357CB" w:rsidP="007357CB">
            <w:pPr>
              <w:pStyle w:val="KeinLeerraum"/>
              <w:numPr>
                <w:ilvl w:val="0"/>
                <w:numId w:val="33"/>
              </w:numPr>
            </w:pPr>
            <w:r>
              <w:t>Es sollte kurz und knapp informiert werden, wer das Unternehmen zu welchem Datum verlässt. Das Need-to-know-Prinzip muss gewahrt werden.</w:t>
            </w:r>
          </w:p>
          <w:p w14:paraId="15638280" w14:textId="77777777" w:rsidR="007357CB" w:rsidRPr="0020773B" w:rsidRDefault="007357CB" w:rsidP="007357CB">
            <w:pPr>
              <w:pStyle w:val="KeinLeerraum"/>
              <w:numPr>
                <w:ilvl w:val="0"/>
                <w:numId w:val="33"/>
              </w:numPr>
            </w:pPr>
            <w:r>
              <w:t>Achten Sie darauf, dass eine Information alle Beschäftigten erreicht.</w:t>
            </w:r>
          </w:p>
        </w:tc>
        <w:tc>
          <w:tcPr>
            <w:tcW w:w="1554" w:type="dxa"/>
          </w:tcPr>
          <w:p w14:paraId="25921E4D" w14:textId="77777777" w:rsidR="007357CB" w:rsidRPr="0020773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36382873" w14:textId="77777777" w:rsidTr="00483EE4">
        <w:tc>
          <w:tcPr>
            <w:tcW w:w="3020" w:type="dxa"/>
          </w:tcPr>
          <w:p w14:paraId="5040E8C6" w14:textId="77777777" w:rsidR="007357CB" w:rsidRDefault="007357CB" w:rsidP="00483EE4">
            <w:pPr>
              <w:pStyle w:val="KeinLeerraum"/>
            </w:pPr>
            <w:r>
              <w:t>Sind besonders betroffene interne oder externe Stellen gesondert informiert und instruiert worden?</w:t>
            </w:r>
          </w:p>
        </w:tc>
        <w:tc>
          <w:tcPr>
            <w:tcW w:w="4488" w:type="dxa"/>
          </w:tcPr>
          <w:p w14:paraId="652ECDC4" w14:textId="77777777" w:rsidR="007357CB" w:rsidRDefault="007357CB" w:rsidP="007357CB">
            <w:pPr>
              <w:pStyle w:val="KeinLeerraum"/>
              <w:numPr>
                <w:ilvl w:val="0"/>
                <w:numId w:val="34"/>
              </w:numPr>
            </w:pPr>
            <w:r>
              <w:t>Unter Umständen sind bestimmte Personen oder Stellen gesondert zu informieren und brauchen auch mehr Informationen, etwa zum richtigen Verhalten.</w:t>
            </w:r>
          </w:p>
          <w:p w14:paraId="4F98D03D" w14:textId="77777777" w:rsidR="007357CB" w:rsidRDefault="007357CB" w:rsidP="007357CB">
            <w:pPr>
              <w:pStyle w:val="KeinLeerraum"/>
              <w:numPr>
                <w:ilvl w:val="0"/>
                <w:numId w:val="34"/>
              </w:numPr>
            </w:pPr>
            <w:r>
              <w:t>Auch wichtige externe Kontaktpersonen sind ggf. unverzüglich über einen Wechsel zu informieren.</w:t>
            </w:r>
          </w:p>
        </w:tc>
        <w:tc>
          <w:tcPr>
            <w:tcW w:w="1554" w:type="dxa"/>
          </w:tcPr>
          <w:p w14:paraId="34798D8D"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49B32062" w14:textId="77777777" w:rsidTr="00483EE4">
        <w:tc>
          <w:tcPr>
            <w:tcW w:w="9062" w:type="dxa"/>
            <w:gridSpan w:val="3"/>
            <w:shd w:val="clear" w:color="auto" w:fill="C1E4F5" w:themeFill="accent1" w:themeFillTint="33"/>
          </w:tcPr>
          <w:p w14:paraId="23748F88" w14:textId="77777777" w:rsidR="007357CB" w:rsidRPr="003A23F1" w:rsidRDefault="007357CB" w:rsidP="00483EE4">
            <w:pPr>
              <w:pStyle w:val="KeinLeerraum"/>
              <w:rPr>
                <w:b/>
                <w:bCs/>
              </w:rPr>
            </w:pPr>
            <w:r w:rsidRPr="003A23F1">
              <w:rPr>
                <w:b/>
                <w:bCs/>
              </w:rPr>
              <w:t>Dokumentation</w:t>
            </w:r>
          </w:p>
        </w:tc>
      </w:tr>
      <w:tr w:rsidR="007357CB" w14:paraId="4A1FAFC9" w14:textId="77777777" w:rsidTr="00483EE4">
        <w:tc>
          <w:tcPr>
            <w:tcW w:w="3020" w:type="dxa"/>
          </w:tcPr>
          <w:p w14:paraId="77EE307B" w14:textId="77777777" w:rsidR="007357CB" w:rsidRDefault="007357CB" w:rsidP="00483EE4">
            <w:pPr>
              <w:pStyle w:val="KeinLeerraum"/>
            </w:pPr>
            <w:r>
              <w:t>Sind die getroffenen Entscheidungen und veranlassten Maßnahmen schriftlich festgehalten?</w:t>
            </w:r>
          </w:p>
        </w:tc>
        <w:tc>
          <w:tcPr>
            <w:tcW w:w="4488" w:type="dxa"/>
          </w:tcPr>
          <w:p w14:paraId="07C6D992" w14:textId="77777777" w:rsidR="007357CB" w:rsidRDefault="007357CB" w:rsidP="007357CB">
            <w:pPr>
              <w:pStyle w:val="KeinLeerraum"/>
              <w:numPr>
                <w:ilvl w:val="0"/>
                <w:numId w:val="35"/>
              </w:numPr>
            </w:pPr>
            <w:r>
              <w:t>Nachvollziehbarkeit ist ein Muss. Dies gerade, wenn Datenschutzrelevanz besteht. Denken Sie hier insbesondere an die Ihrem Unternehmen obliegende Rechenschaftspflicht aus Art. 5 Abs. 2 DSGVO.</w:t>
            </w:r>
          </w:p>
          <w:p w14:paraId="72956551" w14:textId="77777777" w:rsidR="007357CB" w:rsidRDefault="007357CB" w:rsidP="007357CB">
            <w:pPr>
              <w:pStyle w:val="KeinLeerraum"/>
              <w:numPr>
                <w:ilvl w:val="0"/>
                <w:numId w:val="35"/>
              </w:numPr>
            </w:pPr>
            <w:r>
              <w:t>Achten Sie auf eine umfassende Dokumentation. Entscheidend ist: Wer hat was wann wie entschieden bzw. umgesetzt? Auch Begründungen sind festzuhalten.</w:t>
            </w:r>
          </w:p>
        </w:tc>
        <w:tc>
          <w:tcPr>
            <w:tcW w:w="1554" w:type="dxa"/>
          </w:tcPr>
          <w:p w14:paraId="685CC5DD"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7357CB" w14:paraId="6720435A" w14:textId="77777777" w:rsidTr="00483EE4">
        <w:tc>
          <w:tcPr>
            <w:tcW w:w="3020" w:type="dxa"/>
          </w:tcPr>
          <w:p w14:paraId="3CA79F91" w14:textId="77777777" w:rsidR="007357CB" w:rsidRDefault="007357CB" w:rsidP="00483EE4">
            <w:pPr>
              <w:pStyle w:val="KeinLeerraum"/>
            </w:pPr>
            <w:r>
              <w:lastRenderedPageBreak/>
              <w:t>Wurden datenschutzrelevante Aktivitäten geprüft und das Ergebnis dokumentiert?</w:t>
            </w:r>
          </w:p>
        </w:tc>
        <w:tc>
          <w:tcPr>
            <w:tcW w:w="4488" w:type="dxa"/>
          </w:tcPr>
          <w:p w14:paraId="05A14696" w14:textId="77777777" w:rsidR="007357CB" w:rsidRDefault="007357CB" w:rsidP="007357CB">
            <w:pPr>
              <w:pStyle w:val="KeinLeerraum"/>
              <w:numPr>
                <w:ilvl w:val="0"/>
                <w:numId w:val="36"/>
              </w:numPr>
            </w:pPr>
            <w:r>
              <w:t>Gerade beim (kurzfristigen) Austritt oder Wechsel von Führungspersonen kann viel mit Datenschutzbezug zu prüfen sein. Die Prüfung, die Begründung und das Ergebnis sollten festgehalten werden.</w:t>
            </w:r>
          </w:p>
          <w:p w14:paraId="171D91DB" w14:textId="77777777" w:rsidR="007357CB" w:rsidRDefault="007357CB" w:rsidP="007357CB">
            <w:pPr>
              <w:pStyle w:val="KeinLeerraum"/>
              <w:numPr>
                <w:ilvl w:val="0"/>
                <w:numId w:val="36"/>
              </w:numPr>
            </w:pPr>
            <w:r>
              <w:t>Wichtig ist auch: Ihre Beratung als Datenschutzbeauftragter muss dokumentiert werden.</w:t>
            </w:r>
          </w:p>
        </w:tc>
        <w:tc>
          <w:tcPr>
            <w:tcW w:w="1554" w:type="dxa"/>
          </w:tcPr>
          <w:p w14:paraId="64713C39" w14:textId="77777777" w:rsidR="007357CB" w:rsidRDefault="007357CB" w:rsidP="00483EE4">
            <w:pPr>
              <w:pStyle w:val="KeinLeerraum"/>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bl>
    <w:p w14:paraId="5BC4BC12" w14:textId="77777777" w:rsidR="007357CB" w:rsidRPr="000D5213" w:rsidRDefault="007357CB" w:rsidP="007357CB">
      <w:pPr>
        <w:pStyle w:val="KeinLeerraum"/>
      </w:pPr>
    </w:p>
    <w:p w14:paraId="256FD95B" w14:textId="77777777" w:rsidR="007357CB" w:rsidRDefault="007357CB" w:rsidP="007357CB"/>
    <w:p w14:paraId="4EF2313A" w14:textId="77777777" w:rsidR="007357CB" w:rsidRDefault="007357CB" w:rsidP="007357CB"/>
    <w:p w14:paraId="253C47FC" w14:textId="77777777" w:rsidR="003813FE" w:rsidRPr="007357CB" w:rsidRDefault="003813FE" w:rsidP="007357CB"/>
    <w:sectPr w:rsidR="003813FE" w:rsidRPr="007357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65CF8"/>
    <w:multiLevelType w:val="hybridMultilevel"/>
    <w:tmpl w:val="D8722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EAE2484"/>
    <w:multiLevelType w:val="hybridMultilevel"/>
    <w:tmpl w:val="08449D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2E721C0"/>
    <w:multiLevelType w:val="hybridMultilevel"/>
    <w:tmpl w:val="1722BD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4EA6B76"/>
    <w:multiLevelType w:val="hybridMultilevel"/>
    <w:tmpl w:val="BF1054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A6652D2"/>
    <w:multiLevelType w:val="hybridMultilevel"/>
    <w:tmpl w:val="174656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E3970F6"/>
    <w:multiLevelType w:val="hybridMultilevel"/>
    <w:tmpl w:val="D3C000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FA20FE1"/>
    <w:multiLevelType w:val="hybridMultilevel"/>
    <w:tmpl w:val="A20AF9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2FD4503"/>
    <w:multiLevelType w:val="hybridMultilevel"/>
    <w:tmpl w:val="ACCCAE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3D70117"/>
    <w:multiLevelType w:val="hybridMultilevel"/>
    <w:tmpl w:val="1ABE2E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7FA3083"/>
    <w:multiLevelType w:val="hybridMultilevel"/>
    <w:tmpl w:val="93A482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8E44332"/>
    <w:multiLevelType w:val="hybridMultilevel"/>
    <w:tmpl w:val="38E037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94C5F92"/>
    <w:multiLevelType w:val="hybridMultilevel"/>
    <w:tmpl w:val="4BD0CD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C610F96"/>
    <w:multiLevelType w:val="hybridMultilevel"/>
    <w:tmpl w:val="222A05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C7D3C24"/>
    <w:multiLevelType w:val="hybridMultilevel"/>
    <w:tmpl w:val="F82EB9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19E17E1"/>
    <w:multiLevelType w:val="hybridMultilevel"/>
    <w:tmpl w:val="81E839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2B31BD7"/>
    <w:multiLevelType w:val="hybridMultilevel"/>
    <w:tmpl w:val="949E1BE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4675CB0"/>
    <w:multiLevelType w:val="hybridMultilevel"/>
    <w:tmpl w:val="358217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7C502A5"/>
    <w:multiLevelType w:val="hybridMultilevel"/>
    <w:tmpl w:val="514E9D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7F54025"/>
    <w:multiLevelType w:val="hybridMultilevel"/>
    <w:tmpl w:val="F7F4D0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85D61F3"/>
    <w:multiLevelType w:val="hybridMultilevel"/>
    <w:tmpl w:val="E3C6A5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CE82A8A"/>
    <w:multiLevelType w:val="hybridMultilevel"/>
    <w:tmpl w:val="5DEC81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E206166"/>
    <w:multiLevelType w:val="hybridMultilevel"/>
    <w:tmpl w:val="8610A09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A1D5E99"/>
    <w:multiLevelType w:val="hybridMultilevel"/>
    <w:tmpl w:val="A20E8C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10D7182"/>
    <w:multiLevelType w:val="hybridMultilevel"/>
    <w:tmpl w:val="9C76C7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2437460"/>
    <w:multiLevelType w:val="hybridMultilevel"/>
    <w:tmpl w:val="9252DC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2F05DAC"/>
    <w:multiLevelType w:val="hybridMultilevel"/>
    <w:tmpl w:val="9E246A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37963C9"/>
    <w:multiLevelType w:val="hybridMultilevel"/>
    <w:tmpl w:val="A54600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6227F02"/>
    <w:multiLevelType w:val="hybridMultilevel"/>
    <w:tmpl w:val="65943C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6D827124"/>
    <w:multiLevelType w:val="hybridMultilevel"/>
    <w:tmpl w:val="7AB6F9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6E767501"/>
    <w:multiLevelType w:val="hybridMultilevel"/>
    <w:tmpl w:val="EF541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6F5B52D2"/>
    <w:multiLevelType w:val="hybridMultilevel"/>
    <w:tmpl w:val="170ED7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03E502C"/>
    <w:multiLevelType w:val="hybridMultilevel"/>
    <w:tmpl w:val="C3588F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10F2457"/>
    <w:multiLevelType w:val="hybridMultilevel"/>
    <w:tmpl w:val="9EE65D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1C26859"/>
    <w:multiLevelType w:val="hybridMultilevel"/>
    <w:tmpl w:val="D92054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71DB3703"/>
    <w:multiLevelType w:val="hybridMultilevel"/>
    <w:tmpl w:val="3EA6BE8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77BD4D58"/>
    <w:multiLevelType w:val="hybridMultilevel"/>
    <w:tmpl w:val="BA3647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32"/>
  </w:num>
  <w:num w:numId="2">
    <w:abstractNumId w:val="22"/>
  </w:num>
  <w:num w:numId="3">
    <w:abstractNumId w:val="21"/>
  </w:num>
  <w:num w:numId="4">
    <w:abstractNumId w:val="6"/>
  </w:num>
  <w:num w:numId="5">
    <w:abstractNumId w:val="24"/>
  </w:num>
  <w:num w:numId="6">
    <w:abstractNumId w:val="17"/>
  </w:num>
  <w:num w:numId="7">
    <w:abstractNumId w:val="15"/>
  </w:num>
  <w:num w:numId="8">
    <w:abstractNumId w:val="4"/>
  </w:num>
  <w:num w:numId="9">
    <w:abstractNumId w:val="1"/>
  </w:num>
  <w:num w:numId="10">
    <w:abstractNumId w:val="19"/>
  </w:num>
  <w:num w:numId="11">
    <w:abstractNumId w:val="20"/>
  </w:num>
  <w:num w:numId="12">
    <w:abstractNumId w:val="31"/>
  </w:num>
  <w:num w:numId="13">
    <w:abstractNumId w:val="33"/>
  </w:num>
  <w:num w:numId="14">
    <w:abstractNumId w:val="11"/>
  </w:num>
  <w:num w:numId="15">
    <w:abstractNumId w:val="14"/>
  </w:num>
  <w:num w:numId="16">
    <w:abstractNumId w:val="0"/>
  </w:num>
  <w:num w:numId="17">
    <w:abstractNumId w:val="27"/>
  </w:num>
  <w:num w:numId="18">
    <w:abstractNumId w:val="30"/>
  </w:num>
  <w:num w:numId="19">
    <w:abstractNumId w:val="3"/>
  </w:num>
  <w:num w:numId="20">
    <w:abstractNumId w:val="5"/>
  </w:num>
  <w:num w:numId="21">
    <w:abstractNumId w:val="26"/>
  </w:num>
  <w:num w:numId="22">
    <w:abstractNumId w:val="7"/>
  </w:num>
  <w:num w:numId="23">
    <w:abstractNumId w:val="25"/>
  </w:num>
  <w:num w:numId="24">
    <w:abstractNumId w:val="28"/>
  </w:num>
  <w:num w:numId="25">
    <w:abstractNumId w:val="18"/>
  </w:num>
  <w:num w:numId="26">
    <w:abstractNumId w:val="2"/>
  </w:num>
  <w:num w:numId="27">
    <w:abstractNumId w:val="13"/>
  </w:num>
  <w:num w:numId="28">
    <w:abstractNumId w:val="29"/>
  </w:num>
  <w:num w:numId="29">
    <w:abstractNumId w:val="10"/>
  </w:num>
  <w:num w:numId="30">
    <w:abstractNumId w:val="16"/>
  </w:num>
  <w:num w:numId="31">
    <w:abstractNumId w:val="34"/>
  </w:num>
  <w:num w:numId="32">
    <w:abstractNumId w:val="23"/>
  </w:num>
  <w:num w:numId="33">
    <w:abstractNumId w:val="8"/>
  </w:num>
  <w:num w:numId="34">
    <w:abstractNumId w:val="12"/>
  </w:num>
  <w:num w:numId="35">
    <w:abstractNumId w:val="9"/>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EFF"/>
    <w:rsid w:val="002144A4"/>
    <w:rsid w:val="00264022"/>
    <w:rsid w:val="002E5BE3"/>
    <w:rsid w:val="003813FE"/>
    <w:rsid w:val="005E1A55"/>
    <w:rsid w:val="007357CB"/>
    <w:rsid w:val="008F12EA"/>
    <w:rsid w:val="00B03EFF"/>
    <w:rsid w:val="00CC41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8CC5"/>
  <w15:chartTrackingRefBased/>
  <w15:docId w15:val="{0E59B7BA-5801-4831-95CE-DEDFF9AA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03EFF"/>
    <w:rPr>
      <w:kern w:val="0"/>
      <w14:ligatures w14:val="none"/>
    </w:rPr>
  </w:style>
  <w:style w:type="paragraph" w:styleId="berschrift1">
    <w:name w:val="heading 1"/>
    <w:basedOn w:val="Standard"/>
    <w:next w:val="Standard"/>
    <w:link w:val="berschrift1Zchn"/>
    <w:uiPriority w:val="9"/>
    <w:qFormat/>
    <w:rsid w:val="00B03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03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03E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03E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03E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03E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03E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03E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03E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DAT Kein Leerraum,DAT,Kein Leerraum DAT"/>
    <w:uiPriority w:val="1"/>
    <w:qFormat/>
    <w:rsid w:val="00264022"/>
    <w:pPr>
      <w:spacing w:after="0" w:line="240" w:lineRule="auto"/>
    </w:pPr>
    <w:rPr>
      <w:rFonts w:ascii="Arial" w:hAnsi="Arial"/>
      <w:kern w:val="0"/>
      <w:sz w:val="20"/>
      <w14:ligatures w14:val="none"/>
    </w:rPr>
  </w:style>
  <w:style w:type="character" w:customStyle="1" w:styleId="berschrift1Zchn">
    <w:name w:val="Überschrift 1 Zchn"/>
    <w:basedOn w:val="Absatz-Standardschriftart"/>
    <w:link w:val="berschrift1"/>
    <w:uiPriority w:val="9"/>
    <w:rsid w:val="00B03E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03E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03E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03E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03E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03E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03E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03E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03EFF"/>
    <w:rPr>
      <w:rFonts w:eastAsiaTheme="majorEastAsia" w:cstheme="majorBidi"/>
      <w:color w:val="272727" w:themeColor="text1" w:themeTint="D8"/>
    </w:rPr>
  </w:style>
  <w:style w:type="paragraph" w:styleId="Titel">
    <w:name w:val="Title"/>
    <w:basedOn w:val="Standard"/>
    <w:next w:val="Standard"/>
    <w:link w:val="TitelZchn"/>
    <w:uiPriority w:val="10"/>
    <w:qFormat/>
    <w:rsid w:val="00B03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03E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03EF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03E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03EF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03EFF"/>
    <w:rPr>
      <w:i/>
      <w:iCs/>
      <w:color w:val="404040" w:themeColor="text1" w:themeTint="BF"/>
    </w:rPr>
  </w:style>
  <w:style w:type="paragraph" w:styleId="Listenabsatz">
    <w:name w:val="List Paragraph"/>
    <w:basedOn w:val="Standard"/>
    <w:uiPriority w:val="34"/>
    <w:qFormat/>
    <w:rsid w:val="00B03EFF"/>
    <w:pPr>
      <w:ind w:left="720"/>
      <w:contextualSpacing/>
    </w:pPr>
  </w:style>
  <w:style w:type="character" w:styleId="IntensiveHervorhebung">
    <w:name w:val="Intense Emphasis"/>
    <w:basedOn w:val="Absatz-Standardschriftart"/>
    <w:uiPriority w:val="21"/>
    <w:qFormat/>
    <w:rsid w:val="00B03EFF"/>
    <w:rPr>
      <w:i/>
      <w:iCs/>
      <w:color w:val="0F4761" w:themeColor="accent1" w:themeShade="BF"/>
    </w:rPr>
  </w:style>
  <w:style w:type="paragraph" w:styleId="IntensivesZitat">
    <w:name w:val="Intense Quote"/>
    <w:basedOn w:val="Standard"/>
    <w:next w:val="Standard"/>
    <w:link w:val="IntensivesZitatZchn"/>
    <w:uiPriority w:val="30"/>
    <w:qFormat/>
    <w:rsid w:val="00B03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03EFF"/>
    <w:rPr>
      <w:i/>
      <w:iCs/>
      <w:color w:val="0F4761" w:themeColor="accent1" w:themeShade="BF"/>
    </w:rPr>
  </w:style>
  <w:style w:type="character" w:styleId="IntensiverVerweis">
    <w:name w:val="Intense Reference"/>
    <w:basedOn w:val="Absatz-Standardschriftart"/>
    <w:uiPriority w:val="32"/>
    <w:qFormat/>
    <w:rsid w:val="00B03EFF"/>
    <w:rPr>
      <w:b/>
      <w:bCs/>
      <w:smallCaps/>
      <w:color w:val="0F4761" w:themeColor="accent1" w:themeShade="BF"/>
      <w:spacing w:val="5"/>
    </w:rPr>
  </w:style>
  <w:style w:type="table" w:styleId="Tabellenraster">
    <w:name w:val="Table Grid"/>
    <w:basedOn w:val="NormaleTabelle"/>
    <w:uiPriority w:val="59"/>
    <w:rsid w:val="00B03EF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7725</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Würtz</dc:creator>
  <cp:keywords/>
  <dc:description/>
  <cp:lastModifiedBy>Nicole</cp:lastModifiedBy>
  <cp:revision>2</cp:revision>
  <dcterms:created xsi:type="dcterms:W3CDTF">2026-09-23T13:35:00Z</dcterms:created>
  <dcterms:modified xsi:type="dcterms:W3CDTF">2026-09-23T13:35:00Z</dcterms:modified>
</cp:coreProperties>
</file>