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3EC29" w14:textId="77777777" w:rsidR="00E3262C" w:rsidRPr="000B00C9" w:rsidRDefault="00E3262C" w:rsidP="00E3262C">
      <w:pPr>
        <w:pStyle w:val="KeinLeerraum"/>
        <w:rPr>
          <w:b/>
          <w:bCs/>
        </w:rPr>
      </w:pPr>
      <w:bookmarkStart w:id="0" w:name="_GoBack"/>
      <w:r w:rsidRPr="000B00C9">
        <w:rPr>
          <w:b/>
          <w:bCs/>
        </w:rPr>
        <w:t xml:space="preserve">Muster: Awareness-E-Mail </w:t>
      </w:r>
      <w:r>
        <w:rPr>
          <w:b/>
          <w:bCs/>
        </w:rPr>
        <w:t>„Vorweihnachtszeit“</w:t>
      </w:r>
    </w:p>
    <w:bookmarkEnd w:id="0"/>
    <w:p w14:paraId="49B79B0A" w14:textId="77777777" w:rsidR="00E3262C" w:rsidRDefault="00E3262C" w:rsidP="00E3262C">
      <w:pPr>
        <w:pStyle w:val="KeinLeerraum"/>
      </w:pPr>
    </w:p>
    <w:p w14:paraId="23C3A6AD" w14:textId="77777777" w:rsidR="00E3262C" w:rsidRPr="000B00C9" w:rsidRDefault="00E3262C" w:rsidP="00E3262C">
      <w:pPr>
        <w:pStyle w:val="KeinLeerraum"/>
        <w:shd w:val="clear" w:color="auto" w:fill="C1E4F5" w:themeFill="accent1" w:themeFillTint="33"/>
        <w:rPr>
          <w:b/>
          <w:bCs/>
        </w:rPr>
      </w:pPr>
      <w:r w:rsidRPr="000B00C9">
        <w:rPr>
          <w:b/>
          <w:bCs/>
        </w:rPr>
        <w:t xml:space="preserve">Datenschutz in der Vorweihnachtszeit: </w:t>
      </w:r>
      <w:r>
        <w:rPr>
          <w:b/>
          <w:bCs/>
        </w:rPr>
        <w:t>k</w:t>
      </w:r>
      <w:r w:rsidRPr="000B00C9">
        <w:rPr>
          <w:b/>
          <w:bCs/>
        </w:rPr>
        <w:t>leine</w:t>
      </w:r>
      <w:r>
        <w:rPr>
          <w:b/>
          <w:bCs/>
        </w:rPr>
        <w:t>r Check mit großer Wirkung</w:t>
      </w:r>
    </w:p>
    <w:p w14:paraId="23DDFEBC" w14:textId="77777777" w:rsidR="00E3262C" w:rsidRDefault="00E3262C" w:rsidP="00E3262C">
      <w:pPr>
        <w:pStyle w:val="KeinLeerraum"/>
        <w:shd w:val="clear" w:color="auto" w:fill="C1E4F5" w:themeFill="accent1" w:themeFillTint="33"/>
      </w:pPr>
    </w:p>
    <w:p w14:paraId="16823B81" w14:textId="77777777" w:rsidR="00E3262C" w:rsidRDefault="00E3262C" w:rsidP="00E3262C">
      <w:pPr>
        <w:pStyle w:val="KeinLeerraum"/>
        <w:shd w:val="clear" w:color="auto" w:fill="C1E4F5" w:themeFill="accent1" w:themeFillTint="33"/>
      </w:pPr>
      <w:r>
        <w:t>Liebe Kollegin,</w:t>
      </w:r>
    </w:p>
    <w:p w14:paraId="1D318919" w14:textId="77777777" w:rsidR="00E3262C" w:rsidRDefault="00E3262C" w:rsidP="00E3262C">
      <w:pPr>
        <w:pStyle w:val="KeinLeerraum"/>
        <w:shd w:val="clear" w:color="auto" w:fill="C1E4F5" w:themeFill="accent1" w:themeFillTint="33"/>
      </w:pPr>
      <w:r>
        <w:t>lieber Kollege,</w:t>
      </w:r>
    </w:p>
    <w:p w14:paraId="106557A1" w14:textId="77777777" w:rsidR="00E3262C" w:rsidRDefault="00E3262C" w:rsidP="00E3262C">
      <w:pPr>
        <w:pStyle w:val="KeinLeerraum"/>
        <w:shd w:val="clear" w:color="auto" w:fill="C1E4F5" w:themeFill="accent1" w:themeFillTint="33"/>
      </w:pPr>
    </w:p>
    <w:p w14:paraId="1ADF8346" w14:textId="77777777" w:rsidR="00E3262C" w:rsidRDefault="00E3262C" w:rsidP="00E3262C">
      <w:pPr>
        <w:pStyle w:val="KeinLeerraum"/>
        <w:shd w:val="clear" w:color="auto" w:fill="C1E4F5" w:themeFill="accent1" w:themeFillTint="33"/>
      </w:pPr>
      <w:r>
        <w:t>die Vorweihnachtszeit steht vor der Tür. Die Wochen vor Weihnachten sind aber nicht nur Zeit der Besinnlichkeit, der Weihnachtsfeiern oder der Vorfreude auf die Festtage und Ihren Urlaub. Meist ist die Zeit auch geprägt durch besondere Aktivitäten, volle Terminkalender, Hektik und Stress. Und diese Umstände können es begünstigen, dass Fehler passieren. Im Eifer des Gefechts wird etwas übersehen, falsch eingeschätzt oder unbedacht angeklickt. Solche Fehler müssen nicht passieren. Im Gegenteil: Meist lassen sie sich vermeiden.</w:t>
      </w:r>
    </w:p>
    <w:p w14:paraId="0BBBC85C" w14:textId="77777777" w:rsidR="00E3262C" w:rsidRDefault="00E3262C" w:rsidP="00E3262C">
      <w:pPr>
        <w:pStyle w:val="KeinLeerraum"/>
        <w:shd w:val="clear" w:color="auto" w:fill="C1E4F5" w:themeFill="accent1" w:themeFillTint="33"/>
      </w:pPr>
    </w:p>
    <w:p w14:paraId="3E02202D" w14:textId="77777777" w:rsidR="00E3262C" w:rsidRPr="00AB4BBD" w:rsidRDefault="00E3262C" w:rsidP="00E3262C">
      <w:pPr>
        <w:pStyle w:val="KeinLeerraum"/>
        <w:shd w:val="clear" w:color="auto" w:fill="C1E4F5" w:themeFill="accent1" w:themeFillTint="33"/>
        <w:rPr>
          <w:b/>
          <w:bCs/>
        </w:rPr>
      </w:pPr>
      <w:r w:rsidRPr="00AB4BBD">
        <w:rPr>
          <w:b/>
          <w:bCs/>
        </w:rPr>
        <w:t xml:space="preserve">Gerade jetzt ist Datenschutz </w:t>
      </w:r>
      <w:r w:rsidRPr="00645ACB">
        <w:rPr>
          <w:b/>
          <w:bCs/>
        </w:rPr>
        <w:t>wichtig</w:t>
      </w:r>
    </w:p>
    <w:p w14:paraId="7299455F" w14:textId="77777777" w:rsidR="00E3262C" w:rsidRDefault="00E3262C" w:rsidP="00E3262C">
      <w:pPr>
        <w:pStyle w:val="KeinLeerraum"/>
        <w:shd w:val="clear" w:color="auto" w:fill="C1E4F5" w:themeFill="accent1" w:themeFillTint="33"/>
      </w:pPr>
      <w:r>
        <w:t>Uns allen muss Datenschutz in der Vorweihnachtszeit ein wichtiges Anliegen sein. Schließlich geht es um persönliche Informationen und Persönlichkeitsrechte von Kunden, Geschäftspartnern oder auch Kollegen. Bleibt hier der Datenschutz auf der Strecke oder geraten Informationen in falsche Hände, ist das nicht nur für Betroffene in dieser Zeit besonders ärgerlich. Auch können Beschwerden, Abmahnungen oder Schadensersatzforderungen in unserem Unternehmen für viel Stress und Ärger sorgen. Das gilt es unbedingt zu vermeiden.</w:t>
      </w:r>
    </w:p>
    <w:p w14:paraId="7D074458" w14:textId="77777777" w:rsidR="00E3262C" w:rsidRDefault="00E3262C" w:rsidP="00E3262C">
      <w:pPr>
        <w:pStyle w:val="KeinLeerraum"/>
        <w:shd w:val="clear" w:color="auto" w:fill="C1E4F5" w:themeFill="accent1" w:themeFillTint="33"/>
      </w:pPr>
    </w:p>
    <w:p w14:paraId="1AD5E778" w14:textId="77777777" w:rsidR="00E3262C" w:rsidRPr="00AB1C9B" w:rsidRDefault="00E3262C" w:rsidP="00E3262C">
      <w:pPr>
        <w:pStyle w:val="KeinLeerraum"/>
        <w:shd w:val="clear" w:color="auto" w:fill="C1E4F5" w:themeFill="accent1" w:themeFillTint="33"/>
        <w:rPr>
          <w:b/>
          <w:bCs/>
        </w:rPr>
      </w:pPr>
      <w:r w:rsidRPr="00AB1C9B">
        <w:rPr>
          <w:b/>
          <w:bCs/>
        </w:rPr>
        <w:t xml:space="preserve">Seien Sie auf der </w:t>
      </w:r>
      <w:r w:rsidRPr="00645ACB">
        <w:rPr>
          <w:b/>
          <w:bCs/>
        </w:rPr>
        <w:t>Hut</w:t>
      </w:r>
    </w:p>
    <w:p w14:paraId="1B1DB80B" w14:textId="77777777" w:rsidR="00E3262C" w:rsidRDefault="00E3262C" w:rsidP="00E3262C">
      <w:pPr>
        <w:pStyle w:val="KeinLeerraum"/>
        <w:shd w:val="clear" w:color="auto" w:fill="C1E4F5" w:themeFill="accent1" w:themeFillTint="33"/>
      </w:pPr>
      <w:r>
        <w:t>Doch die Vorweihnachtszeit ist auch Hochsaison für Cyberkriminelle. Setzen Sie daher alles daran, diesen nicht auf den Leim zu gehen. Überlegen Sie immer zweimal, bevor Sie handeln. Bei seltsamen Forderungen per E-Mail, Nachricht oder Anruf ist überlegtes und abgestimmtes Handeln ein Muss.</w:t>
      </w:r>
    </w:p>
    <w:p w14:paraId="5E2A427B" w14:textId="77777777" w:rsidR="00E3262C" w:rsidRDefault="00E3262C" w:rsidP="00E3262C">
      <w:pPr>
        <w:pStyle w:val="KeinLeerraum"/>
        <w:shd w:val="clear" w:color="auto" w:fill="C1E4F5" w:themeFill="accent1" w:themeFillTint="33"/>
      </w:pPr>
    </w:p>
    <w:p w14:paraId="16454346" w14:textId="77777777" w:rsidR="00E3262C" w:rsidRPr="002F7E49" w:rsidRDefault="00E3262C" w:rsidP="00E3262C">
      <w:pPr>
        <w:pStyle w:val="KeinLeerraum"/>
        <w:shd w:val="clear" w:color="auto" w:fill="C1E4F5" w:themeFill="accent1" w:themeFillTint="33"/>
        <w:rPr>
          <w:b/>
          <w:bCs/>
        </w:rPr>
      </w:pPr>
      <w:r w:rsidRPr="002F7E49">
        <w:rPr>
          <w:b/>
          <w:bCs/>
        </w:rPr>
        <w:t>Testen Sie sich selbst</w:t>
      </w:r>
    </w:p>
    <w:p w14:paraId="7A329F0E" w14:textId="77777777" w:rsidR="00E3262C" w:rsidRDefault="00E3262C" w:rsidP="00E3262C">
      <w:pPr>
        <w:pStyle w:val="KeinLeerraum"/>
        <w:shd w:val="clear" w:color="auto" w:fill="C1E4F5" w:themeFill="accent1" w:themeFillTint="33"/>
      </w:pPr>
      <w:r>
        <w:t xml:space="preserve">Mit der folgenden Checkliste können Sie in wenigen Minuten prüfen, ob Sie sich gut auskennen und für alle Fälle gerüstet sind. Treffen Sie eine ehrliche Einschätzung. Das Ergebnis bleibt bei Ihnen. </w:t>
      </w:r>
    </w:p>
    <w:p w14:paraId="030CD8FF" w14:textId="77777777" w:rsidR="00E3262C" w:rsidRDefault="00E3262C" w:rsidP="00E3262C">
      <w:pPr>
        <w:pStyle w:val="KeinLeerraum"/>
        <w:shd w:val="clear" w:color="auto" w:fill="C1E4F5" w:themeFill="accent1" w:themeFillTint="33"/>
      </w:pPr>
    </w:p>
    <w:tbl>
      <w:tblPr>
        <w:tblStyle w:val="Tabellenraster"/>
        <w:tblW w:w="0" w:type="auto"/>
        <w:tblLook w:val="04A0" w:firstRow="1" w:lastRow="0" w:firstColumn="1" w:lastColumn="0" w:noHBand="0" w:noVBand="1"/>
      </w:tblPr>
      <w:tblGrid>
        <w:gridCol w:w="2972"/>
        <w:gridCol w:w="4536"/>
        <w:gridCol w:w="1554"/>
      </w:tblGrid>
      <w:tr w:rsidR="00E3262C" w14:paraId="4BCFB160" w14:textId="77777777" w:rsidTr="00F13435">
        <w:tc>
          <w:tcPr>
            <w:tcW w:w="2972" w:type="dxa"/>
          </w:tcPr>
          <w:p w14:paraId="1EED5A52" w14:textId="77777777" w:rsidR="00E3262C" w:rsidRPr="00CA5025" w:rsidRDefault="00E3262C" w:rsidP="00F13435">
            <w:pPr>
              <w:pStyle w:val="KeinLeerraum"/>
              <w:shd w:val="clear" w:color="auto" w:fill="C1E4F5" w:themeFill="accent1" w:themeFillTint="33"/>
              <w:rPr>
                <w:b/>
                <w:bCs/>
              </w:rPr>
            </w:pPr>
            <w:r w:rsidRPr="00CA5025">
              <w:rPr>
                <w:b/>
                <w:bCs/>
              </w:rPr>
              <w:t>Tipp</w:t>
            </w:r>
          </w:p>
        </w:tc>
        <w:tc>
          <w:tcPr>
            <w:tcW w:w="4536" w:type="dxa"/>
          </w:tcPr>
          <w:p w14:paraId="12AED1AA" w14:textId="77777777" w:rsidR="00E3262C" w:rsidRPr="00CA5025" w:rsidRDefault="00E3262C" w:rsidP="00F13435">
            <w:pPr>
              <w:pStyle w:val="KeinLeerraum"/>
              <w:shd w:val="clear" w:color="auto" w:fill="C1E4F5" w:themeFill="accent1" w:themeFillTint="33"/>
              <w:rPr>
                <w:b/>
                <w:bCs/>
              </w:rPr>
            </w:pPr>
            <w:r w:rsidRPr="00CA5025">
              <w:rPr>
                <w:b/>
                <w:bCs/>
              </w:rPr>
              <w:t xml:space="preserve">Das sollten Sie wissen bzw. </w:t>
            </w:r>
            <w:r w:rsidRPr="00645ACB">
              <w:rPr>
                <w:b/>
                <w:bCs/>
              </w:rPr>
              <w:t>beachten</w:t>
            </w:r>
          </w:p>
        </w:tc>
        <w:tc>
          <w:tcPr>
            <w:tcW w:w="1554" w:type="dxa"/>
          </w:tcPr>
          <w:p w14:paraId="57AE1104" w14:textId="77777777" w:rsidR="00E3262C" w:rsidRPr="00CA5025" w:rsidRDefault="00E3262C" w:rsidP="00F13435">
            <w:pPr>
              <w:pStyle w:val="KeinLeerraum"/>
              <w:shd w:val="clear" w:color="auto" w:fill="C1E4F5" w:themeFill="accent1" w:themeFillTint="33"/>
              <w:rPr>
                <w:b/>
                <w:bCs/>
              </w:rPr>
            </w:pPr>
            <w:r>
              <w:rPr>
                <w:b/>
                <w:bCs/>
              </w:rPr>
              <w:t>Ich setze das so um?</w:t>
            </w:r>
          </w:p>
        </w:tc>
      </w:tr>
      <w:tr w:rsidR="00E3262C" w14:paraId="1BB77FA5" w14:textId="77777777" w:rsidTr="00F13435">
        <w:tc>
          <w:tcPr>
            <w:tcW w:w="2972" w:type="dxa"/>
          </w:tcPr>
          <w:p w14:paraId="79D4916E" w14:textId="77777777" w:rsidR="00E3262C" w:rsidRDefault="00E3262C" w:rsidP="00F13435">
            <w:pPr>
              <w:pStyle w:val="KeinLeerraum"/>
              <w:shd w:val="clear" w:color="auto" w:fill="C1E4F5" w:themeFill="accent1" w:themeFillTint="33"/>
            </w:pPr>
            <w:r>
              <w:t>Ohne Einwilligung keine Werbung</w:t>
            </w:r>
          </w:p>
        </w:tc>
        <w:tc>
          <w:tcPr>
            <w:tcW w:w="4536" w:type="dxa"/>
          </w:tcPr>
          <w:p w14:paraId="6ADC15D4" w14:textId="77777777" w:rsidR="00E3262C" w:rsidRDefault="00E3262C" w:rsidP="00E3262C">
            <w:pPr>
              <w:pStyle w:val="KeinLeerraum"/>
              <w:numPr>
                <w:ilvl w:val="0"/>
                <w:numId w:val="40"/>
              </w:numPr>
              <w:shd w:val="clear" w:color="auto" w:fill="C1E4F5" w:themeFill="accent1" w:themeFillTint="33"/>
            </w:pPr>
            <w:r>
              <w:t xml:space="preserve">Elektronische Werbung ist grundsätzlich problematisch, egal ob per E-Mail, SMS, Messenger-Nachricht oder als Nachricht im Business-Netzwerk (z. B. LinkedIn, Xing). Grundsätzlich bedarf es immer der vorherigen </w:t>
            </w:r>
            <w:r w:rsidRPr="00E47CC0">
              <w:t>ausdrückliche</w:t>
            </w:r>
            <w:r>
              <w:t>n</w:t>
            </w:r>
            <w:r w:rsidRPr="00E47CC0">
              <w:t xml:space="preserve"> Einwilligung</w:t>
            </w:r>
            <w:r>
              <w:t xml:space="preserve"> des Empfängers. Es ist egal, ob es sich um einen Verbraucher, ein anderes Unternehmen oder den Mitarbeiter eines anderen Unternehmens handelt.</w:t>
            </w:r>
          </w:p>
          <w:p w14:paraId="183E6360" w14:textId="77777777" w:rsidR="00E3262C" w:rsidRDefault="00E3262C" w:rsidP="00E3262C">
            <w:pPr>
              <w:pStyle w:val="KeinLeerraum"/>
              <w:numPr>
                <w:ilvl w:val="0"/>
                <w:numId w:val="40"/>
              </w:numPr>
              <w:shd w:val="clear" w:color="auto" w:fill="C1E4F5" w:themeFill="accent1" w:themeFillTint="33"/>
            </w:pPr>
            <w:r>
              <w:t>Der Begriff „Werbung“ ist weit auszulegen. Auch eine freundliche Nachricht mit beiläufigem Hinweis auf das neue Produkt ist Werbung. Selbst der Weihnachtsgruß kann Werbung sein, gerade wenn mit ihm etwa der Absatz von Waren oder Dienstleistungen gefördert werden soll.</w:t>
            </w:r>
          </w:p>
          <w:p w14:paraId="2C770902" w14:textId="77777777" w:rsidR="00E3262C" w:rsidRDefault="00E3262C" w:rsidP="00E3262C">
            <w:pPr>
              <w:pStyle w:val="KeinLeerraum"/>
              <w:numPr>
                <w:ilvl w:val="0"/>
                <w:numId w:val="40"/>
              </w:numPr>
              <w:shd w:val="clear" w:color="auto" w:fill="C1E4F5" w:themeFill="accent1" w:themeFillTint="33"/>
            </w:pPr>
            <w:r>
              <w:t>Die Einwilligung muss nachweisbar sein, sprich, unser Unternehmen muss klar belegen können, dass der Empfänger vorab mit dem Erhalt von Werbung einverstanden war</w:t>
            </w:r>
            <w:r w:rsidRPr="00645ACB">
              <w:t xml:space="preserve">.  </w:t>
            </w:r>
          </w:p>
          <w:p w14:paraId="6DA14EDE" w14:textId="77777777" w:rsidR="00E3262C" w:rsidRDefault="00E3262C" w:rsidP="00E3262C">
            <w:pPr>
              <w:pStyle w:val="KeinLeerraum"/>
              <w:numPr>
                <w:ilvl w:val="0"/>
                <w:numId w:val="40"/>
              </w:numPr>
              <w:shd w:val="clear" w:color="auto" w:fill="C1E4F5" w:themeFill="accent1" w:themeFillTint="33"/>
            </w:pPr>
            <w:r>
              <w:t xml:space="preserve">Ohne Einwilligung geht es nur bei Bestandskunden, wenn alle Voraussetzungen des § 7 Abs. 3 des Gesetzes gegen den unlauteren Wettbewerb erfüllt sind. Meist fehlt es an der einen oder anderen Voraussetzung. Im </w:t>
            </w:r>
            <w:r>
              <w:lastRenderedPageBreak/>
              <w:t>Zweifel kontaktieren Sie vorab die für das Wettbewerbsrecht zuständigen Kollegen der Rechtsabteilung.</w:t>
            </w:r>
          </w:p>
          <w:p w14:paraId="605B7CE1" w14:textId="77777777" w:rsidR="00E3262C" w:rsidRDefault="00E3262C" w:rsidP="00E3262C">
            <w:pPr>
              <w:pStyle w:val="KeinLeerraum"/>
              <w:numPr>
                <w:ilvl w:val="0"/>
                <w:numId w:val="40"/>
              </w:numPr>
              <w:shd w:val="clear" w:color="auto" w:fill="C1E4F5" w:themeFill="accent1" w:themeFillTint="33"/>
            </w:pPr>
            <w:r>
              <w:t>Vermeiden Sie auch „versteckte“ Werbung in Weihnachtsgrüßen an Geschäftsfreunde, das heißt jede Marketing- oder Verkaufsbotschaft. Wollen Sie auf Nummer sicher gehen, beschreiten Sie den klassischen Weg. Schicken Sie Ihre Weihnachtsgrüße per Post.</w:t>
            </w:r>
          </w:p>
        </w:tc>
        <w:tc>
          <w:tcPr>
            <w:tcW w:w="1554" w:type="dxa"/>
          </w:tcPr>
          <w:p w14:paraId="30D2A2AC" w14:textId="77777777" w:rsidR="00E3262C" w:rsidRDefault="00E3262C" w:rsidP="00F13435">
            <w:pPr>
              <w:pStyle w:val="KeinLeerraum"/>
              <w:shd w:val="clear" w:color="auto" w:fill="C1E4F5" w:themeFill="accent1" w:themeFillTint="33"/>
            </w:pPr>
            <w:r>
              <w:lastRenderedPageBreak/>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E3262C" w14:paraId="0FD3B634" w14:textId="77777777" w:rsidTr="00F13435">
        <w:tc>
          <w:tcPr>
            <w:tcW w:w="2972" w:type="dxa"/>
          </w:tcPr>
          <w:p w14:paraId="69A8AAA4" w14:textId="77777777" w:rsidR="00E3262C" w:rsidRDefault="00E3262C" w:rsidP="00F13435">
            <w:pPr>
              <w:pStyle w:val="KeinLeerraum"/>
              <w:shd w:val="clear" w:color="auto" w:fill="C1E4F5" w:themeFill="accent1" w:themeFillTint="33"/>
            </w:pPr>
            <w:r>
              <w:t>Datendiät bei Teilnehmerlisten und Ähnlichem</w:t>
            </w:r>
          </w:p>
        </w:tc>
        <w:tc>
          <w:tcPr>
            <w:tcW w:w="4536" w:type="dxa"/>
          </w:tcPr>
          <w:p w14:paraId="06A73D48" w14:textId="77777777" w:rsidR="00E3262C" w:rsidRDefault="00E3262C" w:rsidP="00E3262C">
            <w:pPr>
              <w:pStyle w:val="KeinLeerraum"/>
              <w:numPr>
                <w:ilvl w:val="0"/>
                <w:numId w:val="40"/>
              </w:numPr>
              <w:shd w:val="clear" w:color="auto" w:fill="C1E4F5" w:themeFill="accent1" w:themeFillTint="33"/>
            </w:pPr>
            <w:r>
              <w:t>Teilnehmerlisten können zum Datenschutzproblem werden, auch wenn es nur um die Weihnachtsfeier oder die Abfrage zu Essenswünschen geht. Dabei ist es egal, ob es sich um eine elektronische Tabelle oder eine Papierliste handelt. Gerade wenn auch sensible Informationen eine Rolle spielen (z. B. zu Lebensmittelallergien</w:t>
            </w:r>
            <w:r w:rsidRPr="00645ACB">
              <w:t>)</w:t>
            </w:r>
            <w:r>
              <w:t>, ist es schlecht, wenn alle Informationen für alle einsehbar sind.</w:t>
            </w:r>
          </w:p>
          <w:p w14:paraId="58E6B59E" w14:textId="77777777" w:rsidR="00E3262C" w:rsidRDefault="00E3262C" w:rsidP="00E3262C">
            <w:pPr>
              <w:pStyle w:val="KeinLeerraum"/>
              <w:numPr>
                <w:ilvl w:val="0"/>
                <w:numId w:val="40"/>
              </w:numPr>
              <w:shd w:val="clear" w:color="auto" w:fill="C1E4F5" w:themeFill="accent1" w:themeFillTint="33"/>
            </w:pPr>
            <w:r>
              <w:t xml:space="preserve">Setzen Sie auch bei Listen oder Abfragen auf das Minimalprinzip. Erfassen Sie nur das, was </w:t>
            </w:r>
            <w:r w:rsidRPr="00645ACB">
              <w:t>wirklich</w:t>
            </w:r>
            <w:r>
              <w:t xml:space="preserve"> erforderlich ist. Noch besser ist, wenn Sie eine Abfrage per E-Mail durchführen, die individuell beantwortet wird. Dann bekommen andere nichts von dem mit, was sie nichts angeht.</w:t>
            </w:r>
          </w:p>
        </w:tc>
        <w:tc>
          <w:tcPr>
            <w:tcW w:w="1554" w:type="dxa"/>
          </w:tcPr>
          <w:p w14:paraId="25D24CA9" w14:textId="77777777" w:rsidR="00E3262C" w:rsidRDefault="00E3262C" w:rsidP="00F13435">
            <w:pPr>
              <w:pStyle w:val="KeinLeerraum"/>
              <w:shd w:val="clear" w:color="auto" w:fill="C1E4F5" w:themeFill="accent1" w:themeFillTint="33"/>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E3262C" w14:paraId="0897D361" w14:textId="77777777" w:rsidTr="00F13435">
        <w:tc>
          <w:tcPr>
            <w:tcW w:w="2972" w:type="dxa"/>
          </w:tcPr>
          <w:p w14:paraId="4801B551" w14:textId="77777777" w:rsidR="00E3262C" w:rsidRDefault="00E3262C" w:rsidP="00F13435">
            <w:pPr>
              <w:pStyle w:val="KeinLeerraum"/>
              <w:shd w:val="clear" w:color="auto" w:fill="C1E4F5" w:themeFill="accent1" w:themeFillTint="33"/>
            </w:pPr>
            <w:r>
              <w:t xml:space="preserve">Schnappschüsse von Weihnachtsfeiern: erst fragen, dann </w:t>
            </w:r>
            <w:r w:rsidRPr="00645ACB">
              <w:t>knipsen</w:t>
            </w:r>
            <w:r>
              <w:t xml:space="preserve"> bzw. </w:t>
            </w:r>
            <w:r w:rsidRPr="00645ACB">
              <w:t>posten</w:t>
            </w:r>
          </w:p>
        </w:tc>
        <w:tc>
          <w:tcPr>
            <w:tcW w:w="4536" w:type="dxa"/>
          </w:tcPr>
          <w:p w14:paraId="0495C8C2" w14:textId="77777777" w:rsidR="00E3262C" w:rsidRDefault="00E3262C" w:rsidP="00E3262C">
            <w:pPr>
              <w:pStyle w:val="KeinLeerraum"/>
              <w:numPr>
                <w:ilvl w:val="0"/>
                <w:numId w:val="41"/>
              </w:numPr>
              <w:shd w:val="clear" w:color="auto" w:fill="C1E4F5" w:themeFill="accent1" w:themeFillTint="33"/>
            </w:pPr>
            <w:r>
              <w:t xml:space="preserve">Grundsätzlich gilt: Fotos zur persönlichen Erinnerung an ein Ereignis sind </w:t>
            </w:r>
            <w:r w:rsidRPr="00645ACB">
              <w:t>meist</w:t>
            </w:r>
            <w:r>
              <w:t xml:space="preserve"> kein Problem. Dennoch sollten Sie niemanden gegen seinen Willen ablichten. Fragen Sie vorab nach. Informieren Sie auch, was Sie mit den Bildern vorhaben.</w:t>
            </w:r>
          </w:p>
          <w:p w14:paraId="01437646" w14:textId="77777777" w:rsidR="00E3262C" w:rsidRDefault="00E3262C" w:rsidP="00E3262C">
            <w:pPr>
              <w:pStyle w:val="KeinLeerraum"/>
              <w:numPr>
                <w:ilvl w:val="0"/>
                <w:numId w:val="41"/>
              </w:numPr>
              <w:shd w:val="clear" w:color="auto" w:fill="C1E4F5" w:themeFill="accent1" w:themeFillTint="33"/>
            </w:pPr>
            <w:r>
              <w:t>Die Sache sieht anders aus, wenn Sie gemachte Fotos veröffentlichen wollen, etwa bei einem sozialen Netzwerk. Datenschutzrechtlich sind Sie dann voll für die Verarbeitung verantwortlich, weil dies nicht mehr als ausschließlich privater Zweck gilt. Die sogenannte Haushaltsausnahme der Datenschutz-Grundverordnung greift hier nicht. Sie brauchen also eine Rechtsgrundlage, eben meist die Einwilligung.</w:t>
            </w:r>
          </w:p>
          <w:p w14:paraId="141D0CF6" w14:textId="77777777" w:rsidR="00E3262C" w:rsidRDefault="00E3262C" w:rsidP="00E3262C">
            <w:pPr>
              <w:pStyle w:val="KeinLeerraum"/>
              <w:numPr>
                <w:ilvl w:val="0"/>
                <w:numId w:val="41"/>
              </w:numPr>
              <w:shd w:val="clear" w:color="auto" w:fill="C1E4F5" w:themeFill="accent1" w:themeFillTint="33"/>
            </w:pPr>
            <w:r>
              <w:t>Apropos Einwilligung für die Veröffentlichung: Die brauchen Sie auch nach § 22 Kunsturhebergesetz, wenn nicht die Ausnahmen der Folgeparagrafen greifen.</w:t>
            </w:r>
          </w:p>
        </w:tc>
        <w:tc>
          <w:tcPr>
            <w:tcW w:w="1554" w:type="dxa"/>
          </w:tcPr>
          <w:p w14:paraId="3986EF51" w14:textId="77777777" w:rsidR="00E3262C" w:rsidRDefault="00E3262C" w:rsidP="00F13435">
            <w:pPr>
              <w:pStyle w:val="KeinLeerraum"/>
              <w:shd w:val="clear" w:color="auto" w:fill="C1E4F5" w:themeFill="accent1" w:themeFillTint="33"/>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E3262C" w14:paraId="5744C69E" w14:textId="77777777" w:rsidTr="00F13435">
        <w:tc>
          <w:tcPr>
            <w:tcW w:w="2972" w:type="dxa"/>
          </w:tcPr>
          <w:p w14:paraId="4394DD0C" w14:textId="77777777" w:rsidR="00E3262C" w:rsidRDefault="00E3262C" w:rsidP="00F13435">
            <w:pPr>
              <w:pStyle w:val="KeinLeerraum"/>
              <w:shd w:val="clear" w:color="auto" w:fill="C1E4F5" w:themeFill="accent1" w:themeFillTint="33"/>
            </w:pPr>
            <w:r>
              <w:t>Augen auf bei E-Mails an viele Empfänger</w:t>
            </w:r>
          </w:p>
        </w:tc>
        <w:tc>
          <w:tcPr>
            <w:tcW w:w="4536" w:type="dxa"/>
          </w:tcPr>
          <w:p w14:paraId="40F0E0AA" w14:textId="77777777" w:rsidR="00E3262C" w:rsidRDefault="00E3262C" w:rsidP="00E3262C">
            <w:pPr>
              <w:pStyle w:val="KeinLeerraum"/>
              <w:numPr>
                <w:ilvl w:val="0"/>
                <w:numId w:val="42"/>
              </w:numPr>
              <w:shd w:val="clear" w:color="auto" w:fill="C1E4F5" w:themeFill="accent1" w:themeFillTint="33"/>
            </w:pPr>
            <w:r>
              <w:t xml:space="preserve">Schicken Sie E-Mails an viele externe Empfänger, sollten Sie immer auf Nummer </w:t>
            </w:r>
            <w:r w:rsidRPr="00645ACB">
              <w:t>sicher</w:t>
            </w:r>
            <w:r>
              <w:t xml:space="preserve"> gehen und die Empfänger in das Bcc-Feld eintragen. Die Adressen müssen in das „Blindkopie“-Feld, weil ansonsten jeder mitbekommt, wer die E-Mail ebenfalls erhält. Das kann nicht nur peinlich sein. Es handelt sich vielmehr um eine unzulässige Weitergabe von personenbezogenen Daten. Und diese Datenpanne kann viel Ärger verursachen. Beispielsweise muss oft eine </w:t>
            </w:r>
            <w:r>
              <w:lastRenderedPageBreak/>
              <w:t>Meldung an die Datenschutzaufsichtsbehörde erfolgen.</w:t>
            </w:r>
          </w:p>
          <w:p w14:paraId="73E7A249" w14:textId="77777777" w:rsidR="00E3262C" w:rsidRDefault="00E3262C" w:rsidP="00E3262C">
            <w:pPr>
              <w:pStyle w:val="KeinLeerraum"/>
              <w:numPr>
                <w:ilvl w:val="0"/>
                <w:numId w:val="42"/>
              </w:numPr>
              <w:shd w:val="clear" w:color="auto" w:fill="C1E4F5" w:themeFill="accent1" w:themeFillTint="33"/>
            </w:pPr>
            <w:r>
              <w:t>Checken Sie vor dem Absenden einer E-Mail immer, ob die Empfänger in das richtige Adressfeld eingetragen sind.</w:t>
            </w:r>
          </w:p>
          <w:p w14:paraId="1849C422" w14:textId="77777777" w:rsidR="00E3262C" w:rsidRDefault="00E3262C" w:rsidP="00E3262C">
            <w:pPr>
              <w:pStyle w:val="KeinLeerraum"/>
              <w:numPr>
                <w:ilvl w:val="0"/>
                <w:numId w:val="42"/>
              </w:numPr>
              <w:shd w:val="clear" w:color="auto" w:fill="C1E4F5" w:themeFill="accent1" w:themeFillTint="33"/>
            </w:pPr>
            <w:r>
              <w:t>Auch bei internen E-Mails sollten Sie auf das Bcc-Feld setzen, wenn Empfänger nicht voneinander wissen sollen.</w:t>
            </w:r>
          </w:p>
        </w:tc>
        <w:tc>
          <w:tcPr>
            <w:tcW w:w="1554" w:type="dxa"/>
          </w:tcPr>
          <w:p w14:paraId="60F5F855" w14:textId="77777777" w:rsidR="00E3262C" w:rsidRDefault="00E3262C" w:rsidP="00F13435">
            <w:pPr>
              <w:pStyle w:val="KeinLeerraum"/>
              <w:shd w:val="clear" w:color="auto" w:fill="C1E4F5" w:themeFill="accent1" w:themeFillTint="33"/>
            </w:pPr>
            <w:r>
              <w:lastRenderedPageBreak/>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r w:rsidR="00E3262C" w14:paraId="323A5340" w14:textId="77777777" w:rsidTr="00F13435">
        <w:tc>
          <w:tcPr>
            <w:tcW w:w="2972" w:type="dxa"/>
          </w:tcPr>
          <w:p w14:paraId="04849144" w14:textId="77777777" w:rsidR="00E3262C" w:rsidRDefault="00E3262C" w:rsidP="00F13435">
            <w:pPr>
              <w:pStyle w:val="KeinLeerraum"/>
              <w:shd w:val="clear" w:color="auto" w:fill="C1E4F5" w:themeFill="accent1" w:themeFillTint="33"/>
            </w:pPr>
            <w:r>
              <w:t>Vorsicht bei Phishing</w:t>
            </w:r>
          </w:p>
        </w:tc>
        <w:tc>
          <w:tcPr>
            <w:tcW w:w="4536" w:type="dxa"/>
          </w:tcPr>
          <w:p w14:paraId="6CC58676" w14:textId="77777777" w:rsidR="00E3262C" w:rsidRDefault="00E3262C" w:rsidP="00E3262C">
            <w:pPr>
              <w:pStyle w:val="KeinLeerraum"/>
              <w:numPr>
                <w:ilvl w:val="0"/>
                <w:numId w:val="43"/>
              </w:numPr>
              <w:shd w:val="clear" w:color="auto" w:fill="C1E4F5" w:themeFill="accent1" w:themeFillTint="33"/>
            </w:pPr>
            <w:r>
              <w:t>Gerade in der Vorweihnachtszeit haben Phishing-Nachrichten Hochkonjunktur. Kriminelle tarnen sich gerne als Paketdienst, Bank oder Onlineshop und verschicken gefälschte Nachrichten. Das Ziel: Sie sollen darauf reinfallen und sensible Daten preisgeben oder getarnte Schadsoftware installieren. Genutzt werden gerne E-Mails, SMS</w:t>
            </w:r>
            <w:r w:rsidRPr="00645ACB">
              <w:t xml:space="preserve"> oder</w:t>
            </w:r>
            <w:r>
              <w:t xml:space="preserve"> Messenger-Nachrichten.</w:t>
            </w:r>
          </w:p>
          <w:p w14:paraId="70C455E0" w14:textId="77777777" w:rsidR="00E3262C" w:rsidRDefault="00E3262C" w:rsidP="00E3262C">
            <w:pPr>
              <w:pStyle w:val="KeinLeerraum"/>
              <w:numPr>
                <w:ilvl w:val="0"/>
                <w:numId w:val="43"/>
              </w:numPr>
              <w:shd w:val="clear" w:color="auto" w:fill="C1E4F5" w:themeFill="accent1" w:themeFillTint="33"/>
            </w:pPr>
            <w:r>
              <w:t xml:space="preserve">Trauen Sie nicht </w:t>
            </w:r>
            <w:r w:rsidRPr="00645ACB">
              <w:t>einfach</w:t>
            </w:r>
            <w:r>
              <w:t xml:space="preserve"> Ihren Augen oder Ohren. Gesundes Misstrauen ist angesagt, gerade wenn der Inhalt einer Nachricht ungewöhnlich ist, man Druck auf Sie ausübt oder unübliche Handlungen von Ihnen fordert. Überlegen Sie immer zweimal, bevor Sie handeln. Fragen Sie lieber in Ihrem Umfeld nach und klären Sie, ob das wirklich sein kann. Fragen Sie ggf. über andere Kanäle beim angeblichen Absender nach. Informieren Sie in Zweifelsfällen die IT-Hotline.</w:t>
            </w:r>
          </w:p>
          <w:p w14:paraId="371F59B4" w14:textId="77777777" w:rsidR="00E3262C" w:rsidRDefault="00E3262C" w:rsidP="00E3262C">
            <w:pPr>
              <w:pStyle w:val="KeinLeerraum"/>
              <w:numPr>
                <w:ilvl w:val="0"/>
                <w:numId w:val="43"/>
              </w:numPr>
              <w:shd w:val="clear" w:color="auto" w:fill="C1E4F5" w:themeFill="accent1" w:themeFillTint="33"/>
            </w:pPr>
            <w:r>
              <w:t xml:space="preserve">Ist es dann </w:t>
            </w:r>
            <w:r w:rsidRPr="00645ACB">
              <w:t>doch</w:t>
            </w:r>
            <w:r>
              <w:t xml:space="preserve"> passiert, dürfen Sie nicht zuwarten. Machen Sie sofort Meldung bei der IT-Hotline, damit die nötigen Maßnahmen ergriffen werden.</w:t>
            </w:r>
          </w:p>
        </w:tc>
        <w:tc>
          <w:tcPr>
            <w:tcW w:w="1554" w:type="dxa"/>
          </w:tcPr>
          <w:p w14:paraId="48C11473" w14:textId="77777777" w:rsidR="00E3262C" w:rsidRDefault="00E3262C" w:rsidP="00F13435">
            <w:pPr>
              <w:pStyle w:val="KeinLeerraum"/>
              <w:shd w:val="clear" w:color="auto" w:fill="C1E4F5" w:themeFill="accent1" w:themeFillTint="33"/>
            </w:pPr>
            <w:r>
              <w:fldChar w:fldCharType="begin">
                <w:ffData>
                  <w:name w:val="Kontrollkästchen1"/>
                  <w:enabled/>
                  <w:calcOnExit w:val="0"/>
                  <w:checkBox>
                    <w:sizeAuto/>
                    <w:default w:val="0"/>
                  </w:checkBox>
                </w:ffData>
              </w:fldChar>
            </w:r>
            <w:r>
              <w:instrText xml:space="preserve"> FORMCHECKBOX </w:instrText>
            </w:r>
            <w:r>
              <w:fldChar w:fldCharType="separate"/>
            </w:r>
            <w:r>
              <w:fldChar w:fldCharType="end"/>
            </w:r>
            <w:r>
              <w:t xml:space="preserve"> Ja </w:t>
            </w:r>
            <w:r>
              <w:fldChar w:fldCharType="begin">
                <w:ffData>
                  <w:name w:val="Kontrollkästchen2"/>
                  <w:enabled/>
                  <w:calcOnExit w:val="0"/>
                  <w:checkBox>
                    <w:sizeAuto/>
                    <w:default w:val="0"/>
                  </w:checkBox>
                </w:ffData>
              </w:fldChar>
            </w:r>
            <w:r>
              <w:instrText xml:space="preserve"> FORMCHECKBOX </w:instrText>
            </w:r>
            <w:r>
              <w:fldChar w:fldCharType="separate"/>
            </w:r>
            <w:r>
              <w:fldChar w:fldCharType="end"/>
            </w:r>
            <w:r>
              <w:t xml:space="preserve"> Nein</w:t>
            </w:r>
          </w:p>
        </w:tc>
      </w:tr>
    </w:tbl>
    <w:p w14:paraId="02987F11" w14:textId="77777777" w:rsidR="00E3262C" w:rsidRDefault="00E3262C" w:rsidP="00E3262C">
      <w:pPr>
        <w:pStyle w:val="KeinLeerraum"/>
        <w:shd w:val="clear" w:color="auto" w:fill="C1E4F5" w:themeFill="accent1" w:themeFillTint="33"/>
      </w:pPr>
    </w:p>
    <w:p w14:paraId="2F4F6739" w14:textId="77777777" w:rsidR="00E3262C" w:rsidRDefault="00E3262C" w:rsidP="00E3262C">
      <w:pPr>
        <w:pStyle w:val="KeinLeerraum"/>
        <w:shd w:val="clear" w:color="auto" w:fill="C1E4F5" w:themeFill="accent1" w:themeFillTint="33"/>
      </w:pPr>
      <w:r>
        <w:t xml:space="preserve">Und nun zum Ergebnis Ihres Checks: Wenn Sie überall ein Ja angekreuzt haben, ist das super. Sie sind gut für die Vorweihnachtszeit aufgestellt und haben das nötige Know-how. Mussten Sie ein Nein eingestehen, ist das kein Beinbruch. Arbeiten Sie an diesem Punkt. Denn so leisten Sie einen wichtigen Beitrag </w:t>
      </w:r>
      <w:r w:rsidRPr="00645ACB">
        <w:t>dazu</w:t>
      </w:r>
      <w:r>
        <w:t>, Risiken zu minimieren. Und hierfür gilt Ihnen mein Dank!</w:t>
      </w:r>
    </w:p>
    <w:p w14:paraId="1437CA75" w14:textId="77777777" w:rsidR="00E3262C" w:rsidRDefault="00E3262C" w:rsidP="00E3262C">
      <w:pPr>
        <w:pStyle w:val="KeinLeerraum"/>
        <w:shd w:val="clear" w:color="auto" w:fill="C1E4F5" w:themeFill="accent1" w:themeFillTint="33"/>
      </w:pPr>
    </w:p>
    <w:p w14:paraId="3B5E9F54" w14:textId="77777777" w:rsidR="00E3262C" w:rsidRDefault="00E3262C" w:rsidP="00E3262C">
      <w:pPr>
        <w:pStyle w:val="KeinLeerraum"/>
        <w:shd w:val="clear" w:color="auto" w:fill="C1E4F5" w:themeFill="accent1" w:themeFillTint="33"/>
      </w:pPr>
      <w:r>
        <w:t xml:space="preserve">Sie haben Fragen oder sind sich unsicher? Kein Problem. Melden Sie sich </w:t>
      </w:r>
      <w:r w:rsidRPr="00645ACB">
        <w:t>einfach</w:t>
      </w:r>
      <w:r>
        <w:t xml:space="preserve"> bei mir.</w:t>
      </w:r>
    </w:p>
    <w:p w14:paraId="38133587" w14:textId="77777777" w:rsidR="00E3262C" w:rsidRDefault="00E3262C" w:rsidP="00E3262C">
      <w:pPr>
        <w:pStyle w:val="KeinLeerraum"/>
        <w:shd w:val="clear" w:color="auto" w:fill="C1E4F5" w:themeFill="accent1" w:themeFillTint="33"/>
      </w:pPr>
    </w:p>
    <w:p w14:paraId="53F957FB" w14:textId="77777777" w:rsidR="00E3262C" w:rsidRDefault="00E3262C" w:rsidP="00E3262C">
      <w:pPr>
        <w:pStyle w:val="KeinLeerraum"/>
        <w:shd w:val="clear" w:color="auto" w:fill="C1E4F5" w:themeFill="accent1" w:themeFillTint="33"/>
      </w:pPr>
      <w:r>
        <w:t>Ich wünsche Ihnen eine schöne Vorweihnachtszeit!</w:t>
      </w:r>
    </w:p>
    <w:p w14:paraId="1FB10D28" w14:textId="77777777" w:rsidR="00E3262C" w:rsidRDefault="00E3262C" w:rsidP="00E3262C">
      <w:pPr>
        <w:pStyle w:val="KeinLeerraum"/>
        <w:shd w:val="clear" w:color="auto" w:fill="C1E4F5" w:themeFill="accent1" w:themeFillTint="33"/>
      </w:pPr>
    </w:p>
    <w:p w14:paraId="66526A41" w14:textId="77777777" w:rsidR="00E3262C" w:rsidRDefault="00E3262C" w:rsidP="00E3262C">
      <w:pPr>
        <w:pStyle w:val="KeinLeerraum"/>
        <w:shd w:val="clear" w:color="auto" w:fill="C1E4F5" w:themeFill="accent1" w:themeFillTint="33"/>
      </w:pPr>
      <w:r>
        <w:t>Ihre Datenschutzbeauftragte</w:t>
      </w:r>
    </w:p>
    <w:p w14:paraId="02C33EB2" w14:textId="77777777" w:rsidR="00E3262C" w:rsidRDefault="00E3262C" w:rsidP="00E3262C">
      <w:pPr>
        <w:pStyle w:val="KeinLeerraum"/>
        <w:shd w:val="clear" w:color="auto" w:fill="C1E4F5" w:themeFill="accent1" w:themeFillTint="33"/>
      </w:pPr>
      <w:r>
        <w:t xml:space="preserve">Wendy </w:t>
      </w:r>
      <w:proofErr w:type="spellStart"/>
      <w:r w:rsidRPr="00645ACB">
        <w:t>Lator</w:t>
      </w:r>
      <w:proofErr w:type="spellEnd"/>
      <w:r>
        <w:t xml:space="preserve"> </w:t>
      </w:r>
    </w:p>
    <w:p w14:paraId="1748E88A" w14:textId="77777777" w:rsidR="00E3262C" w:rsidRDefault="00E3262C" w:rsidP="00E3262C">
      <w:pPr>
        <w:pStyle w:val="KeinLeerraum"/>
      </w:pPr>
    </w:p>
    <w:p w14:paraId="630DC09D" w14:textId="77777777" w:rsidR="00E3262C" w:rsidRDefault="00E3262C" w:rsidP="00E3262C">
      <w:pPr>
        <w:pStyle w:val="KeinLeerraum"/>
      </w:pPr>
    </w:p>
    <w:p w14:paraId="21A326A5" w14:textId="77777777" w:rsidR="00E3262C" w:rsidRDefault="00E3262C" w:rsidP="00E3262C"/>
    <w:p w14:paraId="3FDF66F5" w14:textId="3A68FE4C" w:rsidR="007A35F6" w:rsidRPr="00E3262C" w:rsidRDefault="007A35F6" w:rsidP="00E3262C"/>
    <w:sectPr w:rsidR="007A35F6" w:rsidRPr="00E3262C">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5E7487" w14:textId="77777777" w:rsidR="0014572D" w:rsidRDefault="0014572D" w:rsidP="007F6464">
      <w:pPr>
        <w:spacing w:after="0" w:line="240" w:lineRule="auto"/>
      </w:pPr>
      <w:r>
        <w:separator/>
      </w:r>
    </w:p>
  </w:endnote>
  <w:endnote w:type="continuationSeparator" w:id="0">
    <w:p w14:paraId="2F00505E" w14:textId="77777777" w:rsidR="0014572D" w:rsidRDefault="0014572D" w:rsidP="007F6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10BFC" w14:textId="77777777" w:rsidR="007F6464" w:rsidRDefault="007F6464">
    <w:pPr>
      <w:pStyle w:val="Fuzeile"/>
    </w:pPr>
    <w:r>
      <w:rPr>
        <w:noProof/>
      </w:rPr>
      <mc:AlternateContent>
        <mc:Choice Requires="wps">
          <w:drawing>
            <wp:anchor distT="0" distB="0" distL="114300" distR="114300" simplePos="0" relativeHeight="251664384" behindDoc="0" locked="0" layoutInCell="1" allowOverlap="1" wp14:anchorId="5530668C" wp14:editId="77C1CBC4">
              <wp:simplePos x="0" y="0"/>
              <wp:positionH relativeFrom="column">
                <wp:posOffset>-594995</wp:posOffset>
              </wp:positionH>
              <wp:positionV relativeFrom="paragraph">
                <wp:posOffset>163830</wp:posOffset>
              </wp:positionV>
              <wp:extent cx="1162050" cy="276225"/>
              <wp:effectExtent l="0" t="0" r="0" b="9525"/>
              <wp:wrapSquare wrapText="bothSides"/>
              <wp:docPr id="1376172449" name="Textfeld 2"/>
              <wp:cNvGraphicFramePr/>
              <a:graphic xmlns:a="http://schemas.openxmlformats.org/drawingml/2006/main">
                <a:graphicData uri="http://schemas.microsoft.com/office/word/2010/wordprocessingShape">
                  <wps:wsp>
                    <wps:cNvSpPr txBox="1"/>
                    <wps:spPr>
                      <a:xfrm>
                        <a:off x="0" y="0"/>
                        <a:ext cx="1162050" cy="276225"/>
                      </a:xfrm>
                      <a:prstGeom prst="rect">
                        <a:avLst/>
                      </a:prstGeom>
                      <a:solidFill>
                        <a:schemeClr val="lt1"/>
                      </a:solidFill>
                      <a:ln w="6350">
                        <a:noFill/>
                      </a:ln>
                    </wps:spPr>
                    <wps:txb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0668C" id="_x0000_t202" coordsize="21600,21600" o:spt="202" path="m,l,21600r21600,l21600,xe">
              <v:stroke joinstyle="miter"/>
              <v:path gradientshapeok="t" o:connecttype="rect"/>
            </v:shapetype>
            <v:shape id="Textfeld 2" o:spid="_x0000_s1026" type="#_x0000_t202" style="position:absolute;margin-left:-46.85pt;margin-top:12.9pt;width:91.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" fillcolor="white [3201]" stroked="f" strokeweight=".5pt">
              <v:textbox>
                <w:txbxContent>
                  <w:p w14:paraId="7081D78C" w14:textId="77777777" w:rsidR="007F6464" w:rsidRPr="007F6464" w:rsidRDefault="007F6464">
                    <w:pPr>
                      <w:rPr>
                        <w:color w:val="3A3A3A" w:themeColor="background2" w:themeShade="40"/>
                        <w:sz w:val="22"/>
                        <w:szCs w:val="22"/>
                      </w:rPr>
                    </w:pPr>
                    <w:r w:rsidRPr="007F6464">
                      <w:rPr>
                        <w:color w:val="3A3A3A" w:themeColor="background2" w:themeShade="40"/>
                        <w:sz w:val="22"/>
                        <w:szCs w:val="22"/>
                      </w:rPr>
                      <w:t xml:space="preserve">© </w:t>
                    </w:r>
                    <w:proofErr w:type="spellStart"/>
                    <w:r w:rsidRPr="007F6464">
                      <w:rPr>
                        <w:color w:val="3A3A3A" w:themeColor="background2" w:themeShade="40"/>
                        <w:sz w:val="22"/>
                        <w:szCs w:val="22"/>
                      </w:rPr>
                      <w:t>PrivacyXpert</w:t>
                    </w:r>
                    <w:r>
                      <w:rPr>
                        <w:color w:val="3A3A3A" w:themeColor="background2" w:themeShade="40"/>
                        <w:sz w:val="22"/>
                        <w:szCs w:val="22"/>
                      </w:rPr>
                      <w:t>s</w:t>
                    </w:r>
                    <w:proofErr w:type="spellEnd"/>
                  </w:p>
                </w:txbxContent>
              </v:textbox>
              <w10:wrap type="square"/>
            </v:shape>
          </w:pict>
        </mc:Fallback>
      </mc:AlternateContent>
    </w:r>
    <w:r>
      <w:rPr>
        <w:noProof/>
      </w:rPr>
      <mc:AlternateContent>
        <mc:Choice Requires="wps">
          <w:drawing>
            <wp:anchor distT="0" distB="0" distL="114300" distR="114300" simplePos="0" relativeHeight="251663360" behindDoc="0" locked="0" layoutInCell="1" allowOverlap="1" wp14:anchorId="250CA81D" wp14:editId="0DE6D8DA">
              <wp:simplePos x="0" y="0"/>
              <wp:positionH relativeFrom="page">
                <wp:align>left</wp:align>
              </wp:positionH>
              <wp:positionV relativeFrom="paragraph">
                <wp:posOffset>182880</wp:posOffset>
              </wp:positionV>
              <wp:extent cx="7562850" cy="438150"/>
              <wp:effectExtent l="0" t="0" r="0" b="0"/>
              <wp:wrapNone/>
              <wp:docPr id="650834051" name="Rechtwinkliges Dreieck 1"/>
              <wp:cNvGraphicFramePr/>
              <a:graphic xmlns:a="http://schemas.openxmlformats.org/drawingml/2006/main">
                <a:graphicData uri="http://schemas.microsoft.com/office/word/2010/wordprocessingShape">
                  <wps:wsp>
                    <wps:cNvSpPr/>
                    <wps:spPr>
                      <a:xfrm flipH="1">
                        <a:off x="0" y="0"/>
                        <a:ext cx="7562850"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5885512"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14.4pt;width:595.5pt;height:34.5pt;flip:x;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" fillcolor="#a9d65e" stroked="f" strokeweight="1.5pt">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08FBC" w14:textId="77777777" w:rsidR="0014572D" w:rsidRDefault="0014572D" w:rsidP="007F6464">
      <w:pPr>
        <w:spacing w:after="0" w:line="240" w:lineRule="auto"/>
      </w:pPr>
      <w:r>
        <w:separator/>
      </w:r>
    </w:p>
  </w:footnote>
  <w:footnote w:type="continuationSeparator" w:id="0">
    <w:p w14:paraId="70322C2F" w14:textId="77777777" w:rsidR="0014572D" w:rsidRDefault="0014572D" w:rsidP="007F6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095BD" w14:textId="77777777" w:rsidR="007F6464" w:rsidRDefault="007F6464">
    <w:pPr>
      <w:pStyle w:val="Kopfzeile"/>
    </w:pPr>
    <w:r>
      <w:rPr>
        <w:noProof/>
      </w:rPr>
      <w:drawing>
        <wp:anchor distT="0" distB="0" distL="114300" distR="114300" simplePos="0" relativeHeight="251661312" behindDoc="0" locked="0" layoutInCell="1" allowOverlap="1" wp14:anchorId="161F71E2" wp14:editId="45115837">
          <wp:simplePos x="0" y="0"/>
          <wp:positionH relativeFrom="column">
            <wp:posOffset>4358005</wp:posOffset>
          </wp:positionH>
          <wp:positionV relativeFrom="paragraph">
            <wp:posOffset>-240030</wp:posOffset>
          </wp:positionV>
          <wp:extent cx="2098675" cy="252095"/>
          <wp:effectExtent l="0" t="0" r="0" b="0"/>
          <wp:wrapSquare wrapText="bothSides"/>
          <wp:docPr id="4878312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8675" cy="252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52219432" wp14:editId="6C0A26E6">
              <wp:simplePos x="0" y="0"/>
              <wp:positionH relativeFrom="page">
                <wp:align>left</wp:align>
              </wp:positionH>
              <wp:positionV relativeFrom="paragraph">
                <wp:posOffset>-449580</wp:posOffset>
              </wp:positionV>
              <wp:extent cx="7591425" cy="438150"/>
              <wp:effectExtent l="0" t="0" r="9525" b="0"/>
              <wp:wrapNone/>
              <wp:docPr id="1734314516" name="Rechtwinkliges Dreieck 1"/>
              <wp:cNvGraphicFramePr/>
              <a:graphic xmlns:a="http://schemas.openxmlformats.org/drawingml/2006/main">
                <a:graphicData uri="http://schemas.microsoft.com/office/word/2010/wordprocessingShape">
                  <wps:wsp>
                    <wps:cNvSpPr/>
                    <wps:spPr>
                      <a:xfrm flipV="1">
                        <a:off x="0" y="0"/>
                        <a:ext cx="7591425" cy="438150"/>
                      </a:xfrm>
                      <a:prstGeom prst="rtTriangle">
                        <a:avLst/>
                      </a:prstGeom>
                      <a:solidFill>
                        <a:srgbClr val="A9D65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AF6859E" id="_x0000_t6" coordsize="21600,21600" o:spt="6" path="m,l,21600r21600,xe">
              <v:stroke joinstyle="miter"/>
              <v:path gradientshapeok="t" o:connecttype="custom" o:connectlocs="0,0;0,10800;0,21600;10800,21600;21600,21600;10800,10800" textboxrect="1800,12600,12600,19800"/>
            </v:shapetype>
            <v:shape id="Rechtwinkliges Dreieck 1" o:spid="_x0000_s1026" type="#_x0000_t6" style="position:absolute;margin-left:0;margin-top:-35.4pt;width:597.75pt;height:34.5pt;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" fillcolor="#a9d65e" stroked="f" strokeweight="1.5p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3281"/>
    <w:multiLevelType w:val="hybridMultilevel"/>
    <w:tmpl w:val="60061B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2BB0175"/>
    <w:multiLevelType w:val="hybridMultilevel"/>
    <w:tmpl w:val="400C7B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C2E0375"/>
    <w:multiLevelType w:val="hybridMultilevel"/>
    <w:tmpl w:val="9B74556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DD72A6D"/>
    <w:multiLevelType w:val="hybridMultilevel"/>
    <w:tmpl w:val="B73A9E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DE425B4"/>
    <w:multiLevelType w:val="hybridMultilevel"/>
    <w:tmpl w:val="2566015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DFD47DB"/>
    <w:multiLevelType w:val="hybridMultilevel"/>
    <w:tmpl w:val="D6CE1CB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47501B3"/>
    <w:multiLevelType w:val="hybridMultilevel"/>
    <w:tmpl w:val="CF78C39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48A316B"/>
    <w:multiLevelType w:val="hybridMultilevel"/>
    <w:tmpl w:val="2D8A5F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49B42CA"/>
    <w:multiLevelType w:val="hybridMultilevel"/>
    <w:tmpl w:val="EBF4832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1B036C1C"/>
    <w:multiLevelType w:val="hybridMultilevel"/>
    <w:tmpl w:val="87FA278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1F9716FA"/>
    <w:multiLevelType w:val="hybridMultilevel"/>
    <w:tmpl w:val="6BA62A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200920A4"/>
    <w:multiLevelType w:val="hybridMultilevel"/>
    <w:tmpl w:val="BE3ED9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22991088"/>
    <w:multiLevelType w:val="hybridMultilevel"/>
    <w:tmpl w:val="A9C804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11B0F53"/>
    <w:multiLevelType w:val="hybridMultilevel"/>
    <w:tmpl w:val="30FCB68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314B4DB1"/>
    <w:multiLevelType w:val="hybridMultilevel"/>
    <w:tmpl w:val="910057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4223030"/>
    <w:multiLevelType w:val="hybridMultilevel"/>
    <w:tmpl w:val="C73E11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24174E4"/>
    <w:multiLevelType w:val="hybridMultilevel"/>
    <w:tmpl w:val="4CF0136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79847A4"/>
    <w:multiLevelType w:val="hybridMultilevel"/>
    <w:tmpl w:val="323CB45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96867E0"/>
    <w:multiLevelType w:val="hybridMultilevel"/>
    <w:tmpl w:val="80F6D9A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A0019A0"/>
    <w:multiLevelType w:val="hybridMultilevel"/>
    <w:tmpl w:val="6EF05B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4AB12C30"/>
    <w:multiLevelType w:val="hybridMultilevel"/>
    <w:tmpl w:val="BC36F68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ADE592C"/>
    <w:multiLevelType w:val="hybridMultilevel"/>
    <w:tmpl w:val="611261D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4B8F6DAD"/>
    <w:multiLevelType w:val="hybridMultilevel"/>
    <w:tmpl w:val="B5BEB58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511727C8"/>
    <w:multiLevelType w:val="hybridMultilevel"/>
    <w:tmpl w:val="D5E2EE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2566421"/>
    <w:multiLevelType w:val="hybridMultilevel"/>
    <w:tmpl w:val="185E29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2792208"/>
    <w:multiLevelType w:val="hybridMultilevel"/>
    <w:tmpl w:val="9156FC7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70E061B"/>
    <w:multiLevelType w:val="hybridMultilevel"/>
    <w:tmpl w:val="D78252B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88D562F"/>
    <w:multiLevelType w:val="hybridMultilevel"/>
    <w:tmpl w:val="FCC499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58D6525E"/>
    <w:multiLevelType w:val="hybridMultilevel"/>
    <w:tmpl w:val="58620B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5B807838"/>
    <w:multiLevelType w:val="hybridMultilevel"/>
    <w:tmpl w:val="BAE2EE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5C0E570A"/>
    <w:multiLevelType w:val="hybridMultilevel"/>
    <w:tmpl w:val="A8F424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5E7E59B3"/>
    <w:multiLevelType w:val="hybridMultilevel"/>
    <w:tmpl w:val="E02EBF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5F575E19"/>
    <w:multiLevelType w:val="hybridMultilevel"/>
    <w:tmpl w:val="556ED6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600C667F"/>
    <w:multiLevelType w:val="hybridMultilevel"/>
    <w:tmpl w:val="B4686D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4" w15:restartNumberingAfterBreak="0">
    <w:nsid w:val="62772BE4"/>
    <w:multiLevelType w:val="hybridMultilevel"/>
    <w:tmpl w:val="FA3C90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5" w15:restartNumberingAfterBreak="0">
    <w:nsid w:val="632833B4"/>
    <w:multiLevelType w:val="hybridMultilevel"/>
    <w:tmpl w:val="5A8ABD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6" w15:restartNumberingAfterBreak="0">
    <w:nsid w:val="71517E08"/>
    <w:multiLevelType w:val="hybridMultilevel"/>
    <w:tmpl w:val="85545B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7" w15:restartNumberingAfterBreak="0">
    <w:nsid w:val="764517B5"/>
    <w:multiLevelType w:val="hybridMultilevel"/>
    <w:tmpl w:val="6D72497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8" w15:restartNumberingAfterBreak="0">
    <w:nsid w:val="78313DF2"/>
    <w:multiLevelType w:val="hybridMultilevel"/>
    <w:tmpl w:val="6D76AD3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9" w15:restartNumberingAfterBreak="0">
    <w:nsid w:val="79AA3A36"/>
    <w:multiLevelType w:val="hybridMultilevel"/>
    <w:tmpl w:val="DC58B6C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7AB95058"/>
    <w:multiLevelType w:val="hybridMultilevel"/>
    <w:tmpl w:val="01BA9BD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1" w15:restartNumberingAfterBreak="0">
    <w:nsid w:val="7AE2788F"/>
    <w:multiLevelType w:val="hybridMultilevel"/>
    <w:tmpl w:val="BBD425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2" w15:restartNumberingAfterBreak="0">
    <w:nsid w:val="7C9C3367"/>
    <w:multiLevelType w:val="hybridMultilevel"/>
    <w:tmpl w:val="44B8C1E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32"/>
  </w:num>
  <w:num w:numId="2">
    <w:abstractNumId w:val="41"/>
  </w:num>
  <w:num w:numId="3">
    <w:abstractNumId w:val="6"/>
  </w:num>
  <w:num w:numId="4">
    <w:abstractNumId w:val="37"/>
  </w:num>
  <w:num w:numId="5">
    <w:abstractNumId w:val="36"/>
  </w:num>
  <w:num w:numId="6">
    <w:abstractNumId w:val="40"/>
  </w:num>
  <w:num w:numId="7">
    <w:abstractNumId w:val="19"/>
  </w:num>
  <w:num w:numId="8">
    <w:abstractNumId w:val="27"/>
  </w:num>
  <w:num w:numId="9">
    <w:abstractNumId w:val="33"/>
  </w:num>
  <w:num w:numId="10">
    <w:abstractNumId w:val="4"/>
  </w:num>
  <w:num w:numId="11">
    <w:abstractNumId w:val="29"/>
  </w:num>
  <w:num w:numId="12">
    <w:abstractNumId w:val="10"/>
  </w:num>
  <w:num w:numId="13">
    <w:abstractNumId w:val="23"/>
  </w:num>
  <w:num w:numId="14">
    <w:abstractNumId w:val="8"/>
  </w:num>
  <w:num w:numId="15">
    <w:abstractNumId w:val="16"/>
  </w:num>
  <w:num w:numId="16">
    <w:abstractNumId w:val="34"/>
  </w:num>
  <w:num w:numId="17">
    <w:abstractNumId w:val="14"/>
  </w:num>
  <w:num w:numId="18">
    <w:abstractNumId w:val="5"/>
  </w:num>
  <w:num w:numId="19">
    <w:abstractNumId w:val="1"/>
  </w:num>
  <w:num w:numId="20">
    <w:abstractNumId w:val="18"/>
  </w:num>
  <w:num w:numId="21">
    <w:abstractNumId w:val="30"/>
  </w:num>
  <w:num w:numId="22">
    <w:abstractNumId w:val="17"/>
  </w:num>
  <w:num w:numId="23">
    <w:abstractNumId w:val="31"/>
  </w:num>
  <w:num w:numId="24">
    <w:abstractNumId w:val="39"/>
  </w:num>
  <w:num w:numId="25">
    <w:abstractNumId w:val="9"/>
  </w:num>
  <w:num w:numId="26">
    <w:abstractNumId w:val="21"/>
  </w:num>
  <w:num w:numId="27">
    <w:abstractNumId w:val="15"/>
  </w:num>
  <w:num w:numId="28">
    <w:abstractNumId w:val="25"/>
  </w:num>
  <w:num w:numId="29">
    <w:abstractNumId w:val="26"/>
  </w:num>
  <w:num w:numId="30">
    <w:abstractNumId w:val="0"/>
  </w:num>
  <w:num w:numId="31">
    <w:abstractNumId w:val="24"/>
  </w:num>
  <w:num w:numId="32">
    <w:abstractNumId w:val="28"/>
  </w:num>
  <w:num w:numId="33">
    <w:abstractNumId w:val="11"/>
  </w:num>
  <w:num w:numId="34">
    <w:abstractNumId w:val="2"/>
  </w:num>
  <w:num w:numId="35">
    <w:abstractNumId w:val="7"/>
  </w:num>
  <w:num w:numId="36">
    <w:abstractNumId w:val="20"/>
  </w:num>
  <w:num w:numId="37">
    <w:abstractNumId w:val="42"/>
  </w:num>
  <w:num w:numId="38">
    <w:abstractNumId w:val="3"/>
  </w:num>
  <w:num w:numId="39">
    <w:abstractNumId w:val="38"/>
  </w:num>
  <w:num w:numId="40">
    <w:abstractNumId w:val="13"/>
  </w:num>
  <w:num w:numId="41">
    <w:abstractNumId w:val="22"/>
  </w:num>
  <w:num w:numId="42">
    <w:abstractNumId w:val="35"/>
  </w:num>
  <w:num w:numId="43">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BEB"/>
    <w:rsid w:val="00001074"/>
    <w:rsid w:val="0000616E"/>
    <w:rsid w:val="0008435A"/>
    <w:rsid w:val="000A1E17"/>
    <w:rsid w:val="000B1114"/>
    <w:rsid w:val="000C4E79"/>
    <w:rsid w:val="001327B7"/>
    <w:rsid w:val="0014572D"/>
    <w:rsid w:val="001835EE"/>
    <w:rsid w:val="002976BD"/>
    <w:rsid w:val="002A00C3"/>
    <w:rsid w:val="002E3391"/>
    <w:rsid w:val="003A119E"/>
    <w:rsid w:val="003C0A3F"/>
    <w:rsid w:val="00571CB6"/>
    <w:rsid w:val="00587F6F"/>
    <w:rsid w:val="005B6A87"/>
    <w:rsid w:val="005E00BB"/>
    <w:rsid w:val="006373B2"/>
    <w:rsid w:val="00660A54"/>
    <w:rsid w:val="00666106"/>
    <w:rsid w:val="00666A07"/>
    <w:rsid w:val="006C5297"/>
    <w:rsid w:val="006E24D8"/>
    <w:rsid w:val="00720E16"/>
    <w:rsid w:val="0077163A"/>
    <w:rsid w:val="007A35F6"/>
    <w:rsid w:val="007F6464"/>
    <w:rsid w:val="00811BEB"/>
    <w:rsid w:val="00882568"/>
    <w:rsid w:val="00884ADE"/>
    <w:rsid w:val="00893E4A"/>
    <w:rsid w:val="00AF4586"/>
    <w:rsid w:val="00B47C8D"/>
    <w:rsid w:val="00BC3F22"/>
    <w:rsid w:val="00BE6E85"/>
    <w:rsid w:val="00C23E02"/>
    <w:rsid w:val="00C766F5"/>
    <w:rsid w:val="00D77451"/>
    <w:rsid w:val="00D81626"/>
    <w:rsid w:val="00DA42B2"/>
    <w:rsid w:val="00DE1D89"/>
    <w:rsid w:val="00DE5643"/>
    <w:rsid w:val="00E3262C"/>
    <w:rsid w:val="00EA66B3"/>
    <w:rsid w:val="00F2008A"/>
    <w:rsid w:val="00F407D5"/>
    <w:rsid w:val="00FB1EF1"/>
    <w:rsid w:val="00FD1A5E"/>
    <w:rsid w:val="00FF49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94C5FB"/>
  <w15:chartTrackingRefBased/>
  <w15:docId w15:val="{63A45CAA-A219-40EE-AC77-FFE9A367B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F6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6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646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646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646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646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646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646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646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64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F64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F646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F646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F646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F646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F646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F646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F6464"/>
    <w:rPr>
      <w:rFonts w:eastAsiaTheme="majorEastAsia" w:cstheme="majorBidi"/>
      <w:color w:val="272727" w:themeColor="text1" w:themeTint="D8"/>
    </w:rPr>
  </w:style>
  <w:style w:type="paragraph" w:styleId="Titel">
    <w:name w:val="Title"/>
    <w:basedOn w:val="Standard"/>
    <w:next w:val="Standard"/>
    <w:link w:val="TitelZchn"/>
    <w:uiPriority w:val="10"/>
    <w:qFormat/>
    <w:rsid w:val="007F6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646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F646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646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F646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6464"/>
    <w:rPr>
      <w:i/>
      <w:iCs/>
      <w:color w:val="404040" w:themeColor="text1" w:themeTint="BF"/>
    </w:rPr>
  </w:style>
  <w:style w:type="paragraph" w:styleId="Listenabsatz">
    <w:name w:val="List Paragraph"/>
    <w:basedOn w:val="Standard"/>
    <w:uiPriority w:val="34"/>
    <w:qFormat/>
    <w:rsid w:val="007F6464"/>
    <w:pPr>
      <w:ind w:left="720"/>
      <w:contextualSpacing/>
    </w:pPr>
  </w:style>
  <w:style w:type="character" w:styleId="IntensiveHervorhebung">
    <w:name w:val="Intense Emphasis"/>
    <w:basedOn w:val="Absatz-Standardschriftart"/>
    <w:uiPriority w:val="21"/>
    <w:qFormat/>
    <w:rsid w:val="007F6464"/>
    <w:rPr>
      <w:i/>
      <w:iCs/>
      <w:color w:val="0F4761" w:themeColor="accent1" w:themeShade="BF"/>
    </w:rPr>
  </w:style>
  <w:style w:type="paragraph" w:styleId="IntensivesZitat">
    <w:name w:val="Intense Quote"/>
    <w:basedOn w:val="Standard"/>
    <w:next w:val="Standard"/>
    <w:link w:val="IntensivesZitatZchn"/>
    <w:uiPriority w:val="30"/>
    <w:qFormat/>
    <w:rsid w:val="007F6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6464"/>
    <w:rPr>
      <w:i/>
      <w:iCs/>
      <w:color w:val="0F4761" w:themeColor="accent1" w:themeShade="BF"/>
    </w:rPr>
  </w:style>
  <w:style w:type="character" w:styleId="IntensiverVerweis">
    <w:name w:val="Intense Reference"/>
    <w:basedOn w:val="Absatz-Standardschriftart"/>
    <w:uiPriority w:val="32"/>
    <w:qFormat/>
    <w:rsid w:val="007F6464"/>
    <w:rPr>
      <w:b/>
      <w:bCs/>
      <w:smallCaps/>
      <w:color w:val="0F4761" w:themeColor="accent1" w:themeShade="BF"/>
      <w:spacing w:val="5"/>
    </w:rPr>
  </w:style>
  <w:style w:type="paragraph" w:styleId="Kopfzeile">
    <w:name w:val="header"/>
    <w:basedOn w:val="Standard"/>
    <w:link w:val="KopfzeileZchn"/>
    <w:uiPriority w:val="99"/>
    <w:unhideWhenUsed/>
    <w:rsid w:val="007F646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F6464"/>
  </w:style>
  <w:style w:type="paragraph" w:styleId="Fuzeile">
    <w:name w:val="footer"/>
    <w:basedOn w:val="Standard"/>
    <w:link w:val="FuzeileZchn"/>
    <w:uiPriority w:val="99"/>
    <w:unhideWhenUsed/>
    <w:rsid w:val="007F646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F6464"/>
  </w:style>
  <w:style w:type="table" w:styleId="Tabellenraster">
    <w:name w:val="Table Grid"/>
    <w:basedOn w:val="NormaleTabelle"/>
    <w:uiPriority w:val="59"/>
    <w:rsid w:val="00FD1A5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aliases w:val="DAT Kein Leerraum,DAT,Kein Leerraum DAT"/>
    <w:uiPriority w:val="1"/>
    <w:qFormat/>
    <w:rsid w:val="00C23E02"/>
    <w:pPr>
      <w:spacing w:after="0" w:line="240" w:lineRule="auto"/>
    </w:pPr>
    <w:rPr>
      <w:rFonts w:ascii="Arial" w:hAnsi="Arial"/>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352941">
      <w:bodyDiv w:val="1"/>
      <w:marLeft w:val="0"/>
      <w:marRight w:val="0"/>
      <w:marTop w:val="0"/>
      <w:marBottom w:val="0"/>
      <w:divBdr>
        <w:top w:val="none" w:sz="0" w:space="0" w:color="auto"/>
        <w:left w:val="none" w:sz="0" w:space="0" w:color="auto"/>
        <w:bottom w:val="none" w:sz="0" w:space="0" w:color="auto"/>
        <w:right w:val="none" w:sz="0" w:space="0" w:color="auto"/>
      </w:divBdr>
    </w:div>
    <w:div w:id="125667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f\Documents\Benutzerdefinierte%20Office-Vorlagen\PXperts_header_footer.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PXperts_header_footer.dotx</Template>
  <TotalTime>0</TotalTime>
  <Pages>3</Pages>
  <Words>1008</Words>
  <Characters>6351</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 - Mona Fox</dc:creator>
  <cp:keywords/>
  <dc:description/>
  <cp:lastModifiedBy>Nicole</cp:lastModifiedBy>
  <cp:revision>2</cp:revision>
  <dcterms:created xsi:type="dcterms:W3CDTF">2026-10-28T08:47:00Z</dcterms:created>
  <dcterms:modified xsi:type="dcterms:W3CDTF">2026-10-28T08:47:00Z</dcterms:modified>
</cp:coreProperties>
</file>